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054E79" w:rsidTr="00806E45">
        <w:trPr>
          <w:trHeight w:val="144"/>
        </w:trPr>
        <w:tc>
          <w:tcPr>
            <w:tcW w:w="2869" w:type="dxa"/>
          </w:tcPr>
          <w:p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Recurso de Revisión:</w:t>
            </w:r>
          </w:p>
        </w:tc>
        <w:tc>
          <w:tcPr>
            <w:tcW w:w="3085" w:type="dxa"/>
          </w:tcPr>
          <w:p w:rsidR="00264223" w:rsidRPr="00054E79" w:rsidRDefault="003632DF" w:rsidP="00DE479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03746</w:t>
            </w:r>
            <w:r w:rsidR="008B0418" w:rsidRPr="00054E79">
              <w:rPr>
                <w:rFonts w:ascii="Palatino Linotype" w:eastAsia="Calibri" w:hAnsi="Palatino Linotype" w:cs="Tahoma"/>
                <w:bCs/>
                <w:sz w:val="22"/>
                <w:szCs w:val="22"/>
                <w:lang w:eastAsia="en-US"/>
              </w:rPr>
              <w:t>/INFOEM/IP/RR/2018</w:t>
            </w:r>
          </w:p>
        </w:tc>
      </w:tr>
      <w:tr w:rsidR="00264223" w:rsidRPr="00054E79" w:rsidTr="00806E45">
        <w:trPr>
          <w:trHeight w:val="144"/>
        </w:trPr>
        <w:tc>
          <w:tcPr>
            <w:tcW w:w="2869" w:type="dxa"/>
          </w:tcPr>
          <w:p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Recurrente:</w:t>
            </w:r>
          </w:p>
        </w:tc>
        <w:tc>
          <w:tcPr>
            <w:tcW w:w="3085" w:type="dxa"/>
          </w:tcPr>
          <w:p w:rsidR="00264223" w:rsidRPr="00054E79" w:rsidRDefault="008C041D" w:rsidP="00264223">
            <w:pPr>
              <w:tabs>
                <w:tab w:val="right" w:pos="8838"/>
              </w:tabs>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w:t>
            </w:r>
          </w:p>
        </w:tc>
      </w:tr>
      <w:tr w:rsidR="00264223" w:rsidRPr="00054E79" w:rsidTr="00806E45">
        <w:trPr>
          <w:trHeight w:val="283"/>
        </w:trPr>
        <w:tc>
          <w:tcPr>
            <w:tcW w:w="2869" w:type="dxa"/>
          </w:tcPr>
          <w:p w:rsidR="00264223" w:rsidRPr="00054E79" w:rsidRDefault="001A1AAB"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Sujeto Obligado</w:t>
            </w:r>
            <w:r w:rsidR="00264223" w:rsidRPr="00054E79">
              <w:rPr>
                <w:rFonts w:ascii="Palatino Linotype" w:eastAsia="Calibri" w:hAnsi="Palatino Linotype" w:cs="Tahoma"/>
                <w:b/>
                <w:sz w:val="22"/>
                <w:szCs w:val="22"/>
                <w:lang w:val="es-MX" w:eastAsia="en-US"/>
              </w:rPr>
              <w:t>:</w:t>
            </w:r>
          </w:p>
        </w:tc>
        <w:tc>
          <w:tcPr>
            <w:tcW w:w="3085" w:type="dxa"/>
          </w:tcPr>
          <w:p w:rsidR="00264223" w:rsidRPr="00054E79" w:rsidRDefault="003632DF" w:rsidP="00264223">
            <w:pPr>
              <w:tabs>
                <w:tab w:val="left" w:pos="2834"/>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Cuautitlán Izcalli</w:t>
            </w:r>
          </w:p>
        </w:tc>
      </w:tr>
      <w:tr w:rsidR="00264223" w:rsidRPr="00054E79" w:rsidTr="00806E45">
        <w:trPr>
          <w:trHeight w:val="283"/>
        </w:trPr>
        <w:tc>
          <w:tcPr>
            <w:tcW w:w="2869" w:type="dxa"/>
          </w:tcPr>
          <w:p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Comisionado Ponente:</w:t>
            </w:r>
          </w:p>
        </w:tc>
        <w:tc>
          <w:tcPr>
            <w:tcW w:w="3085" w:type="dxa"/>
          </w:tcPr>
          <w:p w:rsidR="00264223" w:rsidRPr="00054E79" w:rsidRDefault="00264223" w:rsidP="00264223">
            <w:pPr>
              <w:tabs>
                <w:tab w:val="right" w:pos="8838"/>
              </w:tabs>
              <w:ind w:right="171"/>
              <w:jc w:val="both"/>
              <w:rPr>
                <w:rFonts w:ascii="Palatino Linotype" w:eastAsia="Calibri" w:hAnsi="Palatino Linotype" w:cs="Tahoma"/>
                <w:b/>
                <w:sz w:val="22"/>
                <w:szCs w:val="22"/>
                <w:lang w:val="es-MX" w:eastAsia="en-US"/>
              </w:rPr>
            </w:pPr>
            <w:r w:rsidRPr="00054E79">
              <w:rPr>
                <w:rFonts w:ascii="Palatino Linotype" w:eastAsia="Calibri" w:hAnsi="Palatino Linotype" w:cs="Tahoma"/>
                <w:sz w:val="22"/>
                <w:szCs w:val="22"/>
                <w:lang w:val="es-MX" w:eastAsia="en-US"/>
              </w:rPr>
              <w:t>Luis Gustavo Parra Noriega</w:t>
            </w:r>
          </w:p>
        </w:tc>
      </w:tr>
    </w:tbl>
    <w:p w:rsidR="00806E45" w:rsidRPr="00054E79" w:rsidRDefault="00806E45" w:rsidP="00806E45">
      <w:pPr>
        <w:spacing w:line="360" w:lineRule="auto"/>
        <w:jc w:val="both"/>
        <w:rPr>
          <w:rFonts w:ascii="Palatino Linotype" w:hAnsi="Palatino Linotype" w:cs="Tahoma"/>
          <w:bCs/>
          <w:sz w:val="22"/>
          <w:szCs w:val="22"/>
        </w:rPr>
      </w:pPr>
    </w:p>
    <w:p w:rsidR="0074285B" w:rsidRPr="00054E79" w:rsidRDefault="00D22B6A" w:rsidP="00806E45">
      <w:pPr>
        <w:spacing w:line="360" w:lineRule="auto"/>
        <w:jc w:val="both"/>
        <w:rPr>
          <w:rFonts w:ascii="Palatino Linotype" w:hAnsi="Palatino Linotype" w:cs="Tahoma"/>
          <w:bCs/>
          <w:sz w:val="22"/>
          <w:szCs w:val="22"/>
        </w:rPr>
      </w:pPr>
      <w:r w:rsidRPr="00054E7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D6BA8">
        <w:rPr>
          <w:rFonts w:ascii="Palatino Linotype" w:hAnsi="Palatino Linotype" w:cs="Tahoma"/>
          <w:bCs/>
          <w:sz w:val="22"/>
          <w:szCs w:val="22"/>
        </w:rPr>
        <w:t>seis</w:t>
      </w:r>
      <w:r w:rsidR="003632DF">
        <w:rPr>
          <w:rFonts w:ascii="Palatino Linotype" w:hAnsi="Palatino Linotype" w:cs="Tahoma"/>
          <w:bCs/>
          <w:sz w:val="22"/>
          <w:szCs w:val="22"/>
        </w:rPr>
        <w:t xml:space="preserve"> de diciembre</w:t>
      </w:r>
      <w:r w:rsidRPr="00054E79">
        <w:rPr>
          <w:rFonts w:ascii="Palatino Linotype" w:hAnsi="Palatino Linotype" w:cs="Tahoma"/>
          <w:bCs/>
          <w:sz w:val="22"/>
          <w:szCs w:val="22"/>
        </w:rPr>
        <w:t xml:space="preserve"> de dos mil dieciocho.</w:t>
      </w:r>
    </w:p>
    <w:p w:rsidR="00492DCA" w:rsidRPr="00054E79" w:rsidRDefault="00492DCA" w:rsidP="00806E45">
      <w:pPr>
        <w:spacing w:line="360" w:lineRule="auto"/>
        <w:jc w:val="both"/>
        <w:rPr>
          <w:rFonts w:ascii="Palatino Linotype" w:hAnsi="Palatino Linotype"/>
          <w:noProof/>
          <w:sz w:val="22"/>
          <w:szCs w:val="22"/>
          <w:lang w:val="es-ES"/>
        </w:rPr>
      </w:pPr>
    </w:p>
    <w:p w:rsidR="00806E45" w:rsidRPr="00054E79" w:rsidRDefault="00D9652C" w:rsidP="00806E45">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VISTO</w:t>
      </w:r>
      <w:r w:rsidR="00806E45" w:rsidRPr="00054E79">
        <w:rPr>
          <w:rFonts w:ascii="Palatino Linotype" w:eastAsia="Calibri" w:hAnsi="Palatino Linotype" w:cs="Tahoma"/>
          <w:bCs/>
          <w:sz w:val="22"/>
          <w:szCs w:val="22"/>
          <w:lang w:val="es-ES" w:eastAsia="en-US"/>
        </w:rPr>
        <w:t xml:space="preserve"> el expediente conformado con motivo del Recurso de Revisión </w:t>
      </w:r>
      <w:r w:rsidR="003632DF">
        <w:rPr>
          <w:rFonts w:ascii="Palatino Linotype" w:eastAsia="Calibri" w:hAnsi="Palatino Linotype" w:cs="Tahoma"/>
          <w:b/>
          <w:bCs/>
          <w:sz w:val="22"/>
          <w:szCs w:val="22"/>
          <w:lang w:val="es-ES" w:eastAsia="en-US"/>
        </w:rPr>
        <w:t>03746</w:t>
      </w:r>
      <w:r w:rsidR="008B0418" w:rsidRPr="00054E79">
        <w:rPr>
          <w:rFonts w:ascii="Palatino Linotype" w:eastAsia="Calibri" w:hAnsi="Palatino Linotype" w:cs="Tahoma"/>
          <w:b/>
          <w:bCs/>
          <w:sz w:val="22"/>
          <w:szCs w:val="22"/>
          <w:lang w:val="es-ES" w:eastAsia="en-US"/>
        </w:rPr>
        <w:t>/INFOEM/IP/RR/2018</w:t>
      </w:r>
      <w:r w:rsidR="00806E45" w:rsidRPr="00054E79">
        <w:rPr>
          <w:rFonts w:ascii="Palatino Linotype" w:eastAsia="Calibri" w:hAnsi="Palatino Linotype" w:cs="Tahoma"/>
          <w:bCs/>
          <w:sz w:val="22"/>
          <w:szCs w:val="22"/>
          <w:lang w:val="es-ES" w:eastAsia="en-US"/>
        </w:rPr>
        <w:t>, interpuesto por</w:t>
      </w:r>
      <w:r w:rsidR="00F755E1" w:rsidRPr="00054E79">
        <w:rPr>
          <w:rFonts w:ascii="Palatino Linotype" w:eastAsia="Calibri" w:hAnsi="Palatino Linotype" w:cs="Tahoma"/>
          <w:b/>
          <w:bCs/>
          <w:sz w:val="22"/>
          <w:szCs w:val="22"/>
          <w:lang w:val="es-ES" w:eastAsia="en-US"/>
        </w:rPr>
        <w:t xml:space="preserve"> </w:t>
      </w:r>
      <w:r w:rsidR="008C041D">
        <w:rPr>
          <w:rFonts w:ascii="Palatino Linotype" w:eastAsia="Calibri" w:hAnsi="Palatino Linotype" w:cs="Tahoma"/>
          <w:b/>
          <w:bCs/>
          <w:sz w:val="22"/>
          <w:szCs w:val="22"/>
          <w:lang w:val="es-ES" w:eastAsia="en-US"/>
        </w:rPr>
        <w:t>XXXXXXXXXXXXXXXXX</w:t>
      </w:r>
      <w:r w:rsidRPr="00054E79">
        <w:rPr>
          <w:rFonts w:ascii="Palatino Linotype" w:eastAsia="Calibri" w:hAnsi="Palatino Linotype" w:cs="Tahoma"/>
          <w:bCs/>
          <w:sz w:val="22"/>
          <w:szCs w:val="22"/>
          <w:lang w:val="es-ES" w:eastAsia="en-US"/>
        </w:rPr>
        <w:t xml:space="preserve">, en lo sucesivo </w:t>
      </w:r>
      <w:r w:rsidR="00DA1AD1">
        <w:rPr>
          <w:rFonts w:ascii="Palatino Linotype" w:eastAsia="Calibri" w:hAnsi="Palatino Linotype" w:cs="Tahoma"/>
          <w:bCs/>
          <w:sz w:val="22"/>
          <w:szCs w:val="22"/>
          <w:lang w:val="es-ES" w:eastAsia="en-US"/>
        </w:rPr>
        <w:t>r</w:t>
      </w:r>
      <w:r w:rsidR="004C72EF" w:rsidRPr="00054E79">
        <w:rPr>
          <w:rFonts w:ascii="Palatino Linotype" w:eastAsia="Calibri" w:hAnsi="Palatino Linotype" w:cs="Tahoma"/>
          <w:bCs/>
          <w:sz w:val="22"/>
          <w:szCs w:val="22"/>
          <w:lang w:val="es-ES" w:eastAsia="en-US"/>
        </w:rPr>
        <w:t xml:space="preserve">ecurrente </w:t>
      </w:r>
      <w:r w:rsidRPr="00054E79">
        <w:rPr>
          <w:rFonts w:ascii="Palatino Linotype" w:eastAsia="Calibri" w:hAnsi="Palatino Linotype" w:cs="Tahoma"/>
          <w:bCs/>
          <w:sz w:val="22"/>
          <w:szCs w:val="22"/>
          <w:lang w:val="es-ES" w:eastAsia="en-US"/>
        </w:rPr>
        <w:t xml:space="preserve">o </w:t>
      </w:r>
      <w:r w:rsidR="00DA1AD1">
        <w:rPr>
          <w:rFonts w:ascii="Palatino Linotype" w:eastAsia="Calibri" w:hAnsi="Palatino Linotype" w:cs="Tahoma"/>
          <w:bCs/>
          <w:sz w:val="22"/>
          <w:szCs w:val="22"/>
          <w:lang w:val="es-ES" w:eastAsia="en-US"/>
        </w:rPr>
        <w:t>p</w:t>
      </w:r>
      <w:r w:rsidR="001A1AAB" w:rsidRPr="00054E79">
        <w:rPr>
          <w:rFonts w:ascii="Palatino Linotype" w:eastAsia="Calibri" w:hAnsi="Palatino Linotype" w:cs="Tahoma"/>
          <w:bCs/>
          <w:sz w:val="22"/>
          <w:szCs w:val="22"/>
          <w:lang w:val="es-ES" w:eastAsia="en-US"/>
        </w:rPr>
        <w:t>articular</w:t>
      </w:r>
      <w:r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val="es-ES" w:eastAsia="en-US"/>
        </w:rPr>
        <w:t xml:space="preserve">en contra de la respuesta otorgada por </w:t>
      </w:r>
      <w:r w:rsidR="00F755E1" w:rsidRPr="00054E79">
        <w:rPr>
          <w:rFonts w:ascii="Palatino Linotype" w:eastAsia="Calibri" w:hAnsi="Palatino Linotype" w:cs="Tahoma"/>
          <w:bCs/>
          <w:sz w:val="22"/>
          <w:szCs w:val="22"/>
          <w:lang w:val="es-ES" w:eastAsia="en-US"/>
        </w:rPr>
        <w:t xml:space="preserve">el </w:t>
      </w:r>
      <w:r w:rsidR="00F755E1" w:rsidRPr="00054E79">
        <w:rPr>
          <w:rFonts w:ascii="Palatino Linotype" w:eastAsia="Calibri" w:hAnsi="Palatino Linotype" w:cs="Tahoma"/>
          <w:b/>
          <w:bCs/>
          <w:sz w:val="22"/>
          <w:szCs w:val="22"/>
          <w:lang w:val="es-ES" w:eastAsia="en-US"/>
        </w:rPr>
        <w:t>Sujeto Obligado</w:t>
      </w:r>
      <w:r w:rsidR="008B0418" w:rsidRPr="00054E79">
        <w:rPr>
          <w:rFonts w:ascii="Palatino Linotype" w:eastAsia="Calibri" w:hAnsi="Palatino Linotype" w:cs="Tahoma"/>
          <w:bCs/>
          <w:sz w:val="22"/>
          <w:szCs w:val="22"/>
          <w:lang w:val="es-ES" w:eastAsia="en-US"/>
        </w:rPr>
        <w:t xml:space="preserve"> </w:t>
      </w:r>
      <w:r w:rsidR="003632DF">
        <w:rPr>
          <w:rFonts w:ascii="Palatino Linotype" w:eastAsia="Calibri" w:hAnsi="Palatino Linotype" w:cs="Tahoma"/>
          <w:b/>
          <w:bCs/>
          <w:sz w:val="22"/>
          <w:szCs w:val="22"/>
          <w:lang w:val="es-ES" w:eastAsia="en-US"/>
        </w:rPr>
        <w:t>Ayuntamiento Cuautitlán Izcalli</w:t>
      </w:r>
      <w:r w:rsidR="00806E45" w:rsidRPr="00054E79">
        <w:rPr>
          <w:rFonts w:ascii="Palatino Linotype" w:eastAsia="Calibri" w:hAnsi="Palatino Linotype" w:cs="Tahoma"/>
          <w:bCs/>
          <w:sz w:val="22"/>
          <w:szCs w:val="22"/>
          <w:lang w:val="es-ES" w:eastAsia="en-US"/>
        </w:rPr>
        <w:t>, se emite la presente Resolución, con base en lo</w:t>
      </w:r>
      <w:r w:rsidR="008B0418" w:rsidRPr="00054E79">
        <w:rPr>
          <w:rFonts w:ascii="Palatino Linotype" w:eastAsia="Calibri" w:hAnsi="Palatino Linotype" w:cs="Tahoma"/>
          <w:bCs/>
          <w:sz w:val="22"/>
          <w:szCs w:val="22"/>
          <w:lang w:val="es-ES" w:eastAsia="en-US"/>
        </w:rPr>
        <w:t>s Antecedentes y Considerandos</w:t>
      </w:r>
      <w:r w:rsidR="00806E45" w:rsidRPr="00054E79">
        <w:rPr>
          <w:rFonts w:ascii="Palatino Linotype" w:eastAsia="Calibri" w:hAnsi="Palatino Linotype" w:cs="Tahoma"/>
          <w:bCs/>
          <w:sz w:val="22"/>
          <w:szCs w:val="22"/>
          <w:lang w:val="es-ES" w:eastAsia="en-US"/>
        </w:rPr>
        <w:t xml:space="preserve"> que se exponen</w:t>
      </w:r>
      <w:r w:rsidR="00C614A6">
        <w:rPr>
          <w:rFonts w:ascii="Palatino Linotype" w:eastAsia="Calibri" w:hAnsi="Palatino Linotype" w:cs="Tahoma"/>
          <w:bCs/>
          <w:sz w:val="22"/>
          <w:szCs w:val="22"/>
          <w:lang w:val="es-ES" w:eastAsia="en-US"/>
        </w:rPr>
        <w:t xml:space="preserve"> </w:t>
      </w:r>
      <w:r w:rsidR="00C614A6" w:rsidRPr="00054E79">
        <w:rPr>
          <w:rFonts w:ascii="Palatino Linotype" w:eastAsia="Calibri" w:hAnsi="Palatino Linotype" w:cs="Tahoma"/>
          <w:bCs/>
          <w:sz w:val="22"/>
          <w:szCs w:val="22"/>
          <w:lang w:val="es-ES" w:eastAsia="en-US"/>
        </w:rPr>
        <w:t>a continuación</w:t>
      </w:r>
      <w:r w:rsidR="00806E45" w:rsidRPr="00054E79">
        <w:rPr>
          <w:rFonts w:ascii="Palatino Linotype" w:eastAsia="Calibri" w:hAnsi="Palatino Linotype" w:cs="Tahoma"/>
          <w:bCs/>
          <w:sz w:val="22"/>
          <w:szCs w:val="22"/>
          <w:lang w:val="es-ES" w:eastAsia="en-US"/>
        </w:rPr>
        <w:t>:</w:t>
      </w:r>
    </w:p>
    <w:p w:rsidR="00806E45" w:rsidRPr="00054E79" w:rsidRDefault="00806E45" w:rsidP="00806E45">
      <w:pPr>
        <w:spacing w:line="360" w:lineRule="auto"/>
        <w:ind w:right="-93"/>
        <w:jc w:val="both"/>
        <w:rPr>
          <w:rFonts w:ascii="Palatino Linotype" w:eastAsia="Calibri" w:hAnsi="Palatino Linotype" w:cs="Tahoma"/>
          <w:bCs/>
          <w:sz w:val="22"/>
          <w:szCs w:val="22"/>
          <w:lang w:val="es-ES" w:eastAsia="en-US"/>
        </w:rPr>
      </w:pPr>
    </w:p>
    <w:p w:rsidR="00806E45" w:rsidRPr="00054E79" w:rsidRDefault="00C614A6" w:rsidP="00806E45">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ANTECEDENTES</w:t>
      </w: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D9652C">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 xml:space="preserve">I. Presentación de la solicitud de información. </w:t>
      </w:r>
    </w:p>
    <w:p w:rsidR="00806E45" w:rsidRPr="00054E79" w:rsidRDefault="00806E45" w:rsidP="00D9652C">
      <w:pPr>
        <w:spacing w:line="360" w:lineRule="auto"/>
        <w:jc w:val="both"/>
        <w:rPr>
          <w:rFonts w:ascii="Palatino Linotype" w:eastAsia="Calibri" w:hAnsi="Palatino Linotype" w:cs="Tahoma"/>
          <w:bCs/>
          <w:sz w:val="22"/>
          <w:szCs w:val="22"/>
          <w:lang w:eastAsia="en-US"/>
        </w:rPr>
      </w:pPr>
    </w:p>
    <w:p w:rsidR="00806E45" w:rsidRPr="00054E79" w:rsidRDefault="00806E45" w:rsidP="00D9652C">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eastAsia="en-US"/>
        </w:rPr>
        <w:t xml:space="preserve">Con fecha </w:t>
      </w:r>
      <w:r w:rsidR="00C614A6">
        <w:rPr>
          <w:rFonts w:ascii="Palatino Linotype" w:eastAsia="Calibri" w:hAnsi="Palatino Linotype" w:cs="Tahoma"/>
          <w:bCs/>
          <w:sz w:val="22"/>
          <w:szCs w:val="22"/>
          <w:lang w:eastAsia="en-US"/>
        </w:rPr>
        <w:t>siete de septiembre</w:t>
      </w:r>
      <w:r w:rsidRPr="00054E79">
        <w:rPr>
          <w:rFonts w:ascii="Palatino Linotype" w:eastAsia="Calibri" w:hAnsi="Palatino Linotype" w:cs="Tahoma"/>
          <w:bCs/>
          <w:sz w:val="22"/>
          <w:szCs w:val="22"/>
          <w:lang w:eastAsia="en-US"/>
        </w:rPr>
        <w:t xml:space="preserve"> de dos mil dieciocho, mediante el</w:t>
      </w:r>
      <w:r w:rsidRPr="00054E79">
        <w:rPr>
          <w:rFonts w:ascii="Palatino Linotype" w:eastAsia="Calibri" w:hAnsi="Palatino Linotype" w:cs="Tahoma"/>
          <w:bCs/>
          <w:sz w:val="22"/>
          <w:szCs w:val="22"/>
          <w:lang w:val="es-ES" w:eastAsia="en-US"/>
        </w:rPr>
        <w:t xml:space="preserve"> Sistema de Acceso a la Información Mexiquense (SAIMEX), </w:t>
      </w:r>
      <w:r w:rsidR="00C614A6">
        <w:rPr>
          <w:rFonts w:ascii="Palatino Linotype" w:eastAsia="Calibri" w:hAnsi="Palatino Linotype" w:cs="Tahoma"/>
          <w:bCs/>
          <w:sz w:val="22"/>
          <w:szCs w:val="22"/>
          <w:lang w:eastAsia="en-US"/>
        </w:rPr>
        <w:t>el</w:t>
      </w:r>
      <w:r w:rsidRPr="00054E79">
        <w:rPr>
          <w:rFonts w:ascii="Palatino Linotype" w:eastAsia="Calibri" w:hAnsi="Palatino Linotype" w:cs="Tahoma"/>
          <w:bCs/>
          <w:sz w:val="22"/>
          <w:szCs w:val="22"/>
          <w:lang w:eastAsia="en-US"/>
        </w:rPr>
        <w:t xml:space="preserve"> </w:t>
      </w:r>
      <w:r w:rsidR="001A1AAB" w:rsidRPr="00054E79">
        <w:rPr>
          <w:rFonts w:ascii="Palatino Linotype" w:eastAsia="Calibri" w:hAnsi="Palatino Linotype" w:cs="Tahoma"/>
          <w:bCs/>
          <w:sz w:val="22"/>
          <w:szCs w:val="22"/>
          <w:lang w:eastAsia="en-US"/>
        </w:rPr>
        <w:t>Particular</w:t>
      </w:r>
      <w:r w:rsidRPr="00054E79">
        <w:rPr>
          <w:rFonts w:ascii="Palatino Linotype" w:eastAsia="Calibri" w:hAnsi="Palatino Linotype" w:cs="Tahoma"/>
          <w:bCs/>
          <w:sz w:val="22"/>
          <w:szCs w:val="22"/>
          <w:lang w:eastAsia="en-US"/>
        </w:rPr>
        <w:t xml:space="preserve"> presentó una solicitud de </w:t>
      </w:r>
      <w:r w:rsidR="00F82119" w:rsidRPr="00054E79">
        <w:rPr>
          <w:rFonts w:ascii="Palatino Linotype" w:eastAsia="Calibri" w:hAnsi="Palatino Linotype" w:cs="Tahoma"/>
          <w:bCs/>
          <w:sz w:val="22"/>
          <w:szCs w:val="22"/>
          <w:lang w:eastAsia="en-US"/>
        </w:rPr>
        <w:t xml:space="preserve">acceso a la </w:t>
      </w:r>
      <w:r w:rsidR="008B0418" w:rsidRPr="00054E79">
        <w:rPr>
          <w:rFonts w:ascii="Palatino Linotype" w:eastAsia="Calibri" w:hAnsi="Palatino Linotype" w:cs="Tahoma"/>
          <w:bCs/>
          <w:sz w:val="22"/>
          <w:szCs w:val="22"/>
          <w:lang w:eastAsia="en-US"/>
        </w:rPr>
        <w:t>información pública</w:t>
      </w:r>
      <w:r w:rsidRPr="00054E79">
        <w:rPr>
          <w:rFonts w:ascii="Palatino Linotype" w:eastAsia="Calibri" w:hAnsi="Palatino Linotype" w:cs="Tahoma"/>
          <w:bCs/>
          <w:sz w:val="22"/>
          <w:szCs w:val="22"/>
          <w:lang w:eastAsia="en-US"/>
        </w:rPr>
        <w:t xml:space="preserve"> ante la Unidad de Transparencia </w:t>
      </w:r>
      <w:r w:rsidR="005726B1" w:rsidRPr="00054E79">
        <w:rPr>
          <w:rFonts w:ascii="Palatino Linotype" w:eastAsia="Calibri" w:hAnsi="Palatino Linotype" w:cs="Tahoma"/>
          <w:bCs/>
          <w:sz w:val="22"/>
          <w:szCs w:val="22"/>
          <w:lang w:eastAsia="en-US"/>
        </w:rPr>
        <w:t xml:space="preserve">del </w:t>
      </w:r>
      <w:r w:rsidR="003632DF">
        <w:rPr>
          <w:rFonts w:ascii="Palatino Linotype" w:eastAsia="Calibri" w:hAnsi="Palatino Linotype" w:cs="Tahoma"/>
          <w:bCs/>
          <w:sz w:val="22"/>
          <w:szCs w:val="22"/>
          <w:lang w:eastAsia="en-US"/>
        </w:rPr>
        <w:t>Ayuntamiento de Cuautitlán Izcalli</w:t>
      </w:r>
      <w:r w:rsidRPr="00054E79">
        <w:rPr>
          <w:rFonts w:ascii="Palatino Linotype" w:eastAsia="Calibri" w:hAnsi="Palatino Linotype" w:cs="Tahoma"/>
          <w:bCs/>
          <w:sz w:val="22"/>
          <w:szCs w:val="22"/>
          <w:lang w:eastAsia="en-US"/>
        </w:rPr>
        <w:t xml:space="preserve">, </w:t>
      </w:r>
      <w:r w:rsidR="004C72EF">
        <w:rPr>
          <w:rFonts w:ascii="Palatino Linotype" w:eastAsia="Calibri" w:hAnsi="Palatino Linotype" w:cs="Tahoma"/>
          <w:bCs/>
          <w:sz w:val="22"/>
          <w:szCs w:val="22"/>
          <w:lang w:eastAsia="en-US"/>
        </w:rPr>
        <w:t>mediante la cual requirió</w:t>
      </w:r>
      <w:r w:rsidR="004C72EF" w:rsidRPr="00054E79">
        <w:rPr>
          <w:rFonts w:ascii="Palatino Linotype" w:eastAsia="Calibri" w:hAnsi="Palatino Linotype" w:cs="Tahoma"/>
          <w:bCs/>
          <w:sz w:val="22"/>
          <w:szCs w:val="22"/>
          <w:lang w:eastAsia="en-US"/>
        </w:rPr>
        <w:t xml:space="preserve"> </w:t>
      </w:r>
      <w:r w:rsidRPr="00054E79">
        <w:rPr>
          <w:rFonts w:ascii="Palatino Linotype" w:eastAsia="Calibri" w:hAnsi="Palatino Linotype" w:cs="Tahoma"/>
          <w:bCs/>
          <w:sz w:val="22"/>
          <w:szCs w:val="22"/>
          <w:lang w:eastAsia="en-US"/>
        </w:rPr>
        <w:t>lo siguiente:</w:t>
      </w:r>
    </w:p>
    <w:p w:rsidR="00806E45" w:rsidRPr="00054E79" w:rsidRDefault="00806E45" w:rsidP="00D9652C">
      <w:pPr>
        <w:spacing w:line="360" w:lineRule="auto"/>
        <w:jc w:val="both"/>
        <w:rPr>
          <w:rFonts w:ascii="Palatino Linotype" w:eastAsia="Calibri" w:hAnsi="Palatino Linotype" w:cs="Tahoma"/>
          <w:bCs/>
          <w:sz w:val="22"/>
          <w:szCs w:val="22"/>
          <w:lang w:eastAsia="en-US"/>
        </w:rPr>
      </w:pPr>
    </w:p>
    <w:p w:rsidR="00806E45" w:rsidRPr="00054E79" w:rsidRDefault="00806E45" w:rsidP="00806E45">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DESCRIPCIÓN CLARA Y PRECISA DE LA INFORMACIÓN SOLICITADA</w:t>
      </w:r>
    </w:p>
    <w:p w:rsidR="00F82119" w:rsidRPr="00054E79" w:rsidRDefault="003632DF" w:rsidP="00806E45">
      <w:pPr>
        <w:spacing w:line="360" w:lineRule="auto"/>
        <w:ind w:left="567" w:right="567"/>
        <w:jc w:val="both"/>
        <w:rPr>
          <w:rFonts w:ascii="Palatino Linotype" w:eastAsia="Calibri" w:hAnsi="Palatino Linotype" w:cs="Tahoma"/>
          <w:bCs/>
          <w:lang w:val="es-ES" w:eastAsia="en-US"/>
        </w:rPr>
      </w:pPr>
      <w:r w:rsidRPr="003632DF">
        <w:rPr>
          <w:rFonts w:ascii="Palatino Linotype" w:eastAsia="Calibri" w:hAnsi="Palatino Linotype" w:cs="Tahoma"/>
          <w:bCs/>
          <w:lang w:val="es-ES" w:eastAsia="en-US"/>
        </w:rPr>
        <w:t>Deseo conocer la cantidad de recursos que se han destinado a la reparación y repavimentación de la Av. Paseos del Alba, Av. de los Fresnos y Dr. Jorge Jiménez Cantú en el año presente. Así mismo deseo conocer el material con que se han reparado y la ficha técnica del mismo.</w:t>
      </w:r>
    </w:p>
    <w:p w:rsidR="00806E45" w:rsidRPr="00054E79" w:rsidRDefault="00806E45" w:rsidP="00806E45">
      <w:pPr>
        <w:spacing w:line="360" w:lineRule="auto"/>
        <w:ind w:left="567" w:right="567"/>
        <w:jc w:val="both"/>
        <w:rPr>
          <w:rFonts w:ascii="Palatino Linotype" w:eastAsia="Calibri" w:hAnsi="Palatino Linotype" w:cs="Tahoma"/>
          <w:bCs/>
          <w:lang w:val="es-ES" w:eastAsia="en-US"/>
        </w:rPr>
      </w:pPr>
      <w:r w:rsidRPr="00054E79">
        <w:rPr>
          <w:rFonts w:ascii="Palatino Linotype" w:eastAsia="Calibri" w:hAnsi="Palatino Linotype" w:cs="Tahoma"/>
          <w:b/>
          <w:bCs/>
          <w:lang w:val="es-ES" w:eastAsia="en-US"/>
        </w:rPr>
        <w:t>MODALIDAD DE ENTREGA</w:t>
      </w:r>
    </w:p>
    <w:p w:rsidR="00806E45" w:rsidRPr="00054E79" w:rsidRDefault="00C614A6" w:rsidP="00806E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A través del SAIMEX</w:t>
      </w:r>
      <w:r w:rsidR="005726B1" w:rsidRPr="00054E79">
        <w:rPr>
          <w:rFonts w:ascii="Palatino Linotype" w:eastAsia="Calibri" w:hAnsi="Palatino Linotype" w:cs="Tahoma"/>
          <w:bCs/>
          <w:lang w:val="es-ES" w:eastAsia="en-US"/>
        </w:rPr>
        <w:t>.</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lastRenderedPageBreak/>
        <w:t xml:space="preserve">II. Respuesta del </w:t>
      </w:r>
      <w:r w:rsidR="001A1AAB" w:rsidRPr="00054E79">
        <w:rPr>
          <w:rFonts w:ascii="Palatino Linotype" w:eastAsia="Calibri" w:hAnsi="Palatino Linotype" w:cs="Tahoma"/>
          <w:b/>
          <w:bCs/>
          <w:sz w:val="22"/>
          <w:szCs w:val="22"/>
          <w:lang w:val="es-ES" w:eastAsia="en-US"/>
        </w:rPr>
        <w:t>Sujeto Obligado</w:t>
      </w:r>
      <w:r w:rsidRPr="00054E79">
        <w:rPr>
          <w:rFonts w:ascii="Palatino Linotype" w:eastAsia="Calibri" w:hAnsi="Palatino Linotype" w:cs="Tahoma"/>
          <w:b/>
          <w:bCs/>
          <w:sz w:val="22"/>
          <w:szCs w:val="22"/>
          <w:lang w:val="es-ES" w:eastAsia="en-US"/>
        </w:rPr>
        <w:t>.</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Con fecha </w:t>
      </w:r>
      <w:r w:rsidR="003632DF">
        <w:rPr>
          <w:rFonts w:ascii="Palatino Linotype" w:eastAsia="Calibri" w:hAnsi="Palatino Linotype" w:cs="Tahoma"/>
          <w:bCs/>
          <w:sz w:val="22"/>
          <w:szCs w:val="22"/>
          <w:lang w:val="es-ES" w:eastAsia="en-US"/>
        </w:rPr>
        <w:t>veintiocho</w:t>
      </w:r>
      <w:r w:rsidR="008B0418" w:rsidRPr="00054E79">
        <w:rPr>
          <w:rFonts w:ascii="Palatino Linotype" w:eastAsia="Calibri" w:hAnsi="Palatino Linotype" w:cs="Tahoma"/>
          <w:bCs/>
          <w:sz w:val="22"/>
          <w:szCs w:val="22"/>
          <w:lang w:val="es-ES" w:eastAsia="en-US"/>
        </w:rPr>
        <w:t xml:space="preserve"> </w:t>
      </w:r>
      <w:r w:rsidRPr="00054E79">
        <w:rPr>
          <w:rFonts w:ascii="Palatino Linotype" w:eastAsia="Calibri" w:hAnsi="Palatino Linotype" w:cs="Tahoma"/>
          <w:bCs/>
          <w:sz w:val="22"/>
          <w:szCs w:val="22"/>
          <w:lang w:val="es-ES" w:eastAsia="en-US"/>
        </w:rPr>
        <w:t xml:space="preserve">de septiembre de dos mil dieciocho, mediante el Sistema de Acceso a la Información Mexiquense (SAIMEX), la Unidad de Transparencia </w:t>
      </w:r>
      <w:r w:rsidR="005726B1" w:rsidRPr="00054E79">
        <w:rPr>
          <w:rFonts w:ascii="Palatino Linotype" w:eastAsia="Calibri" w:hAnsi="Palatino Linotype" w:cs="Tahoma"/>
          <w:bCs/>
          <w:sz w:val="22"/>
          <w:szCs w:val="22"/>
          <w:lang w:val="es-ES" w:eastAsia="en-US"/>
        </w:rPr>
        <w:t xml:space="preserve">del </w:t>
      </w:r>
      <w:r w:rsidR="003632DF">
        <w:rPr>
          <w:rFonts w:ascii="Palatino Linotype" w:eastAsia="Calibri" w:hAnsi="Palatino Linotype" w:cs="Tahoma"/>
          <w:bCs/>
          <w:sz w:val="22"/>
          <w:szCs w:val="22"/>
          <w:lang w:val="es-ES" w:eastAsia="en-US"/>
        </w:rPr>
        <w:t>Ayuntamiento de Cuautitlán Izcalli</w:t>
      </w:r>
      <w:r w:rsidR="00C614A6">
        <w:rPr>
          <w:rFonts w:ascii="Palatino Linotype" w:eastAsia="Calibri" w:hAnsi="Palatino Linotype" w:cs="Tahoma"/>
          <w:bCs/>
          <w:sz w:val="22"/>
          <w:szCs w:val="22"/>
          <w:lang w:val="es-ES" w:eastAsia="en-US"/>
        </w:rPr>
        <w:t xml:space="preserve"> notificó al </w:t>
      </w:r>
      <w:r w:rsidR="001A1AAB" w:rsidRPr="00054E79">
        <w:rPr>
          <w:rFonts w:ascii="Palatino Linotype" w:eastAsia="Calibri" w:hAnsi="Palatino Linotype" w:cs="Tahoma"/>
          <w:bCs/>
          <w:sz w:val="22"/>
          <w:szCs w:val="22"/>
          <w:lang w:val="es-ES" w:eastAsia="en-US"/>
        </w:rPr>
        <w:t>Particular</w:t>
      </w:r>
      <w:r w:rsidRPr="00054E79">
        <w:rPr>
          <w:rFonts w:ascii="Palatino Linotype" w:eastAsia="Calibri" w:hAnsi="Palatino Linotype" w:cs="Tahoma"/>
          <w:bCs/>
          <w:sz w:val="22"/>
          <w:szCs w:val="22"/>
          <w:lang w:val="es-ES" w:eastAsia="en-US"/>
        </w:rPr>
        <w:t xml:space="preserve"> la respuesta a su solicitud de acceso a la información, en los términos siguientes:</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DC4B70" w:rsidRDefault="003632DF" w:rsidP="00C614A6">
      <w:pPr>
        <w:spacing w:line="360" w:lineRule="auto"/>
        <w:ind w:left="567" w:right="567"/>
        <w:jc w:val="both"/>
        <w:rPr>
          <w:rFonts w:ascii="Palatino Linotype" w:eastAsia="Calibri" w:hAnsi="Palatino Linotype" w:cs="Tahoma"/>
          <w:bCs/>
          <w:lang w:val="es-ES" w:eastAsia="en-US"/>
        </w:rPr>
      </w:pPr>
      <w:r w:rsidRPr="003632DF">
        <w:rPr>
          <w:rFonts w:ascii="Palatino Linotype" w:eastAsia="Calibri" w:hAnsi="Palatino Linotype" w:cs="Tahoma"/>
          <w:bCs/>
          <w:lang w:val="es-ES" w:eastAsia="en-US"/>
        </w:rPr>
        <w:t>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(1) Dirección de Obras Publicas 1.- “En atención a la solicitud de información planteada a través del sistema de acceso a la información mexiquense (SAIMEX), registrada con folio 00303/CUAUTIZC/IP/2018; de fecha 07 de septiembre de la presente anualidad, consistente en:</w:t>
      </w:r>
    </w:p>
    <w:p w:rsidR="00DC4B70" w:rsidRDefault="00DC4B70" w:rsidP="00C614A6">
      <w:pPr>
        <w:spacing w:line="360" w:lineRule="auto"/>
        <w:ind w:left="567" w:right="567"/>
        <w:jc w:val="both"/>
        <w:rPr>
          <w:rFonts w:ascii="Palatino Linotype" w:eastAsia="Calibri" w:hAnsi="Palatino Linotype" w:cs="Tahoma"/>
          <w:bCs/>
          <w:lang w:val="es-ES" w:eastAsia="en-US"/>
        </w:rPr>
      </w:pPr>
    </w:p>
    <w:p w:rsidR="00DC4B70" w:rsidRDefault="00DC4B70" w:rsidP="00DC4B70">
      <w:pPr>
        <w:spacing w:line="360" w:lineRule="auto"/>
        <w:ind w:left="567" w:right="567"/>
        <w:jc w:val="center"/>
        <w:rPr>
          <w:rFonts w:ascii="Palatino Linotype" w:eastAsia="Calibri" w:hAnsi="Palatino Linotype" w:cs="Tahoma"/>
          <w:bCs/>
          <w:lang w:val="es-ES" w:eastAsia="en-US"/>
        </w:rPr>
      </w:pPr>
      <w:r>
        <w:rPr>
          <w:rFonts w:ascii="Palatino Linotype" w:eastAsia="Calibri" w:hAnsi="Palatino Linotype" w:cs="Tahoma"/>
          <w:bCs/>
          <w:lang w:val="es-ES" w:eastAsia="en-US"/>
        </w:rPr>
        <w:t>[Téngase por reproducida la solicitud de acceso a la información]</w:t>
      </w:r>
    </w:p>
    <w:p w:rsidR="00DC4B70" w:rsidRDefault="00DC4B70" w:rsidP="00C614A6">
      <w:pPr>
        <w:spacing w:line="360" w:lineRule="auto"/>
        <w:ind w:left="567" w:right="567"/>
        <w:jc w:val="both"/>
        <w:rPr>
          <w:rFonts w:ascii="Palatino Linotype" w:eastAsia="Calibri" w:hAnsi="Palatino Linotype" w:cs="Tahoma"/>
          <w:bCs/>
          <w:lang w:val="es-ES" w:eastAsia="en-US"/>
        </w:rPr>
      </w:pPr>
    </w:p>
    <w:p w:rsidR="00806E45" w:rsidRPr="00054E79" w:rsidRDefault="003632DF" w:rsidP="00C614A6">
      <w:pPr>
        <w:spacing w:line="360" w:lineRule="auto"/>
        <w:ind w:left="567" w:right="567"/>
        <w:jc w:val="both"/>
        <w:rPr>
          <w:rFonts w:ascii="Palatino Linotype" w:eastAsia="Calibri" w:hAnsi="Palatino Linotype" w:cs="Tahoma"/>
          <w:bCs/>
          <w:lang w:val="es-ES" w:eastAsia="en-US"/>
        </w:rPr>
      </w:pPr>
      <w:r w:rsidRPr="003632DF">
        <w:rPr>
          <w:rFonts w:ascii="Palatino Linotype" w:eastAsia="Calibri" w:hAnsi="Palatino Linotype" w:cs="Tahoma"/>
          <w:bCs/>
          <w:lang w:val="es-ES" w:eastAsia="en-US"/>
        </w:rPr>
        <w:t xml:space="preserve">Al respecto y de conformidad con el artículo 12 párrafo segundo de la Ley de Transparencia y Acceso a la Información Pública del Estado de México y Municipios; el cual dispone que los sujetos obligados sólo proporcionaran la información pública que se les requiera y que obre en sus archivos y en el estado en que ésta se encuentre. La obligación de proporcionar información no comprende el procesamiento de la misma, ni el presentarla conforme al interés del solicitante; no </w:t>
      </w:r>
      <w:r w:rsidRPr="004C72EF">
        <w:rPr>
          <w:rFonts w:ascii="Palatino Linotype" w:eastAsia="Calibri" w:hAnsi="Palatino Linotype" w:cs="Tahoma"/>
          <w:bCs/>
          <w:lang w:val="es-ES" w:eastAsia="en-US"/>
        </w:rPr>
        <w:t xml:space="preserve">estarán obligados a generarla, </w:t>
      </w:r>
      <w:r w:rsidRPr="004C72EF">
        <w:rPr>
          <w:rFonts w:ascii="Palatino Linotype" w:eastAsia="Calibri" w:hAnsi="Palatino Linotype" w:cs="Tahoma"/>
          <w:bCs/>
          <w:lang w:val="es-ES" w:eastAsia="en-US"/>
        </w:rPr>
        <w:lastRenderedPageBreak/>
        <w:t xml:space="preserve">resumirla, efectuar cálculos o practicar investigaciones. </w:t>
      </w:r>
      <w:r w:rsidRPr="00E10FB5">
        <w:rPr>
          <w:rFonts w:ascii="Palatino Linotype" w:eastAsia="Calibri" w:hAnsi="Palatino Linotype" w:cs="Tahoma"/>
          <w:bCs/>
          <w:lang w:val="es-ES" w:eastAsia="en-US"/>
        </w:rPr>
        <w:t>Bajo este contexto y derivado del contenido de la solicitud de referencia, hago de su conocimiento que este Ayuntamiento no concentra la información como lo solicita.”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806E45" w:rsidRDefault="00806E45" w:rsidP="00D9652C">
      <w:pPr>
        <w:spacing w:line="360" w:lineRule="auto"/>
        <w:jc w:val="both"/>
        <w:rPr>
          <w:rFonts w:ascii="Palatino Linotype" w:eastAsia="Calibri" w:hAnsi="Palatino Linotype" w:cs="Tahoma"/>
          <w:bCs/>
          <w:sz w:val="22"/>
          <w:szCs w:val="22"/>
          <w:lang w:val="es-ES" w:eastAsia="en-US"/>
        </w:rPr>
      </w:pPr>
    </w:p>
    <w:p w:rsidR="00C614A6" w:rsidRDefault="00C614A6"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 la notificación en comento, el </w:t>
      </w:r>
      <w:r w:rsidR="00DC4B70">
        <w:rPr>
          <w:rFonts w:ascii="Palatino Linotype" w:eastAsia="Calibri" w:hAnsi="Palatino Linotype" w:cs="Tahoma"/>
          <w:bCs/>
          <w:sz w:val="22"/>
          <w:szCs w:val="22"/>
          <w:lang w:val="es-ES" w:eastAsia="en-US"/>
        </w:rPr>
        <w:t xml:space="preserve">Ayuntamiento de Cuautitlán Izcalli adjuntó el oficio número </w:t>
      </w:r>
      <w:r w:rsidR="006F7C7D">
        <w:rPr>
          <w:rFonts w:ascii="Palatino Linotype" w:eastAsia="Calibri" w:hAnsi="Palatino Linotype" w:cs="Tahoma"/>
          <w:b/>
          <w:bCs/>
          <w:sz w:val="22"/>
          <w:szCs w:val="22"/>
          <w:lang w:val="es-ES" w:eastAsia="en-US"/>
        </w:rPr>
        <w:t>DGDM-DOP-DESOC/1951</w:t>
      </w:r>
      <w:r w:rsidR="00DC4B70" w:rsidRPr="006F7C7D">
        <w:rPr>
          <w:rFonts w:ascii="Palatino Linotype" w:eastAsia="Calibri" w:hAnsi="Palatino Linotype" w:cs="Tahoma"/>
          <w:b/>
          <w:bCs/>
          <w:sz w:val="22"/>
          <w:szCs w:val="22"/>
          <w:lang w:val="es-ES" w:eastAsia="en-US"/>
        </w:rPr>
        <w:t>/2018</w:t>
      </w:r>
      <w:r w:rsidR="00DC4B70">
        <w:rPr>
          <w:rFonts w:ascii="Palatino Linotype" w:eastAsia="Calibri" w:hAnsi="Palatino Linotype" w:cs="Tahoma"/>
          <w:bCs/>
          <w:sz w:val="22"/>
          <w:szCs w:val="22"/>
          <w:lang w:val="es-ES" w:eastAsia="en-US"/>
        </w:rPr>
        <w:t xml:space="preserve">, de fecha veinticuatro de septiembre de dos mil dieciocho, dirigido a la Titular de la Unidad de Transparencia y signado </w:t>
      </w:r>
      <w:r w:rsidR="006F7C7D">
        <w:rPr>
          <w:rFonts w:ascii="Palatino Linotype" w:eastAsia="Calibri" w:hAnsi="Palatino Linotype" w:cs="Tahoma"/>
          <w:bCs/>
          <w:sz w:val="22"/>
          <w:szCs w:val="22"/>
          <w:lang w:val="es-ES" w:eastAsia="en-US"/>
        </w:rPr>
        <w:t>por el Director de Obras Públicas, en los términos siguientes:</w:t>
      </w:r>
    </w:p>
    <w:p w:rsidR="00C614A6" w:rsidRDefault="00C614A6" w:rsidP="00D9652C">
      <w:pPr>
        <w:spacing w:line="360" w:lineRule="auto"/>
        <w:jc w:val="both"/>
        <w:rPr>
          <w:rFonts w:ascii="Palatino Linotype" w:eastAsia="Calibri" w:hAnsi="Palatino Linotype" w:cs="Tahoma"/>
          <w:bCs/>
          <w:sz w:val="22"/>
          <w:szCs w:val="22"/>
          <w:lang w:val="es-ES" w:eastAsia="en-US"/>
        </w:rPr>
      </w:pPr>
    </w:p>
    <w:p w:rsidR="00B66245" w:rsidRDefault="00B66245" w:rsidP="00B662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rsidR="00B66245" w:rsidRDefault="00B66245" w:rsidP="00B66245">
      <w:pPr>
        <w:spacing w:line="360" w:lineRule="auto"/>
        <w:ind w:left="567" w:right="567"/>
        <w:jc w:val="both"/>
        <w:rPr>
          <w:rFonts w:ascii="Palatino Linotype" w:eastAsia="Calibri" w:hAnsi="Palatino Linotype" w:cs="Tahoma"/>
          <w:bCs/>
          <w:lang w:val="es-ES" w:eastAsia="en-US"/>
        </w:rPr>
      </w:pPr>
    </w:p>
    <w:p w:rsidR="006F7C7D" w:rsidRDefault="006F7C7D" w:rsidP="006F7C7D">
      <w:pPr>
        <w:spacing w:line="360" w:lineRule="auto"/>
        <w:ind w:left="567" w:right="567"/>
        <w:jc w:val="both"/>
        <w:rPr>
          <w:rFonts w:ascii="Palatino Linotype" w:eastAsia="Calibri" w:hAnsi="Palatino Linotype" w:cs="Tahoma"/>
          <w:bCs/>
          <w:lang w:val="es-ES" w:eastAsia="en-US"/>
        </w:rPr>
      </w:pPr>
      <w:r w:rsidRPr="006F7C7D">
        <w:rPr>
          <w:rFonts w:ascii="Palatino Linotype" w:eastAsia="Calibri" w:hAnsi="Palatino Linotype" w:cs="Tahoma"/>
          <w:bCs/>
          <w:lang w:eastAsia="en-US"/>
        </w:rPr>
        <w:t>Al respecto y de conformidad con el articulo 12 párrafo segundo de la Ley de Transparencia y Acceso a la</w:t>
      </w:r>
      <w:r>
        <w:rPr>
          <w:rFonts w:ascii="Palatino Linotype" w:eastAsia="Calibri" w:hAnsi="Palatino Linotype" w:cs="Tahoma"/>
          <w:bCs/>
          <w:lang w:eastAsia="en-US"/>
        </w:rPr>
        <w:t xml:space="preserve"> </w:t>
      </w:r>
      <w:r w:rsidRPr="006F7C7D">
        <w:rPr>
          <w:rFonts w:ascii="Palatino Linotype" w:eastAsia="Calibri" w:hAnsi="Palatino Linotype" w:cs="Tahoma"/>
          <w:bCs/>
          <w:lang w:eastAsia="en-US"/>
        </w:rPr>
        <w:t>Información Pública del Estado de México y Municipios; el cual dispone que los sujetos obligados sólo</w:t>
      </w:r>
      <w:r>
        <w:rPr>
          <w:rFonts w:ascii="Palatino Linotype" w:eastAsia="Calibri" w:hAnsi="Palatino Linotype" w:cs="Tahoma"/>
          <w:bCs/>
          <w:lang w:eastAsia="en-US"/>
        </w:rPr>
        <w:t xml:space="preserve"> </w:t>
      </w:r>
      <w:r w:rsidRPr="006F7C7D">
        <w:rPr>
          <w:rFonts w:ascii="Palatino Linotype" w:eastAsia="Calibri" w:hAnsi="Palatino Linotype" w:cs="Tahoma"/>
          <w:bCs/>
          <w:lang w:eastAsia="en-US"/>
        </w:rPr>
        <w:t>proporcionaran la información pública que se les requiera y que obre en sus archivos y en el estado en que ésta</w:t>
      </w:r>
      <w:r>
        <w:rPr>
          <w:rFonts w:ascii="Palatino Linotype" w:eastAsia="Calibri" w:hAnsi="Palatino Linotype" w:cs="Tahoma"/>
          <w:bCs/>
          <w:lang w:eastAsia="en-US"/>
        </w:rPr>
        <w:t xml:space="preserve"> </w:t>
      </w:r>
      <w:r w:rsidRPr="006F7C7D">
        <w:rPr>
          <w:rFonts w:ascii="Palatino Linotype" w:eastAsia="Calibri" w:hAnsi="Palatino Linotype" w:cs="Tahoma"/>
          <w:bCs/>
          <w:lang w:eastAsia="en-US"/>
        </w:rPr>
        <w:t>se encuentre. La obligación de proporcionar información no comprende el procesamiento de la misma, ni el</w:t>
      </w:r>
      <w:r>
        <w:rPr>
          <w:rFonts w:ascii="Palatino Linotype" w:eastAsia="Calibri" w:hAnsi="Palatino Linotype" w:cs="Tahoma"/>
          <w:bCs/>
          <w:lang w:eastAsia="en-US"/>
        </w:rPr>
        <w:t xml:space="preserve"> </w:t>
      </w:r>
      <w:r w:rsidRPr="006F7C7D">
        <w:rPr>
          <w:rFonts w:ascii="Palatino Linotype" w:eastAsia="Calibri" w:hAnsi="Palatino Linotype" w:cs="Tahoma"/>
          <w:bCs/>
          <w:lang w:eastAsia="en-US"/>
        </w:rPr>
        <w:t>presentarla conforme al interés del solicitante; no estarán obligados a generarla, resumirla, efectuar cálculos o</w:t>
      </w:r>
      <w:r>
        <w:rPr>
          <w:rFonts w:ascii="Palatino Linotype" w:eastAsia="Calibri" w:hAnsi="Palatino Linotype" w:cs="Tahoma"/>
          <w:bCs/>
          <w:lang w:eastAsia="en-US"/>
        </w:rPr>
        <w:t xml:space="preserve"> </w:t>
      </w:r>
      <w:r w:rsidRPr="006F7C7D">
        <w:rPr>
          <w:rFonts w:ascii="Palatino Linotype" w:eastAsia="Calibri" w:hAnsi="Palatino Linotype" w:cs="Tahoma"/>
          <w:bCs/>
          <w:lang w:eastAsia="en-US"/>
        </w:rPr>
        <w:t>practicar investigaciones. Bajo este contexto y derivado del contenido de la solicitud de referencia, hago de su</w:t>
      </w:r>
      <w:r>
        <w:rPr>
          <w:rFonts w:ascii="Palatino Linotype" w:eastAsia="Calibri" w:hAnsi="Palatino Linotype" w:cs="Tahoma"/>
          <w:bCs/>
          <w:lang w:eastAsia="en-US"/>
        </w:rPr>
        <w:t xml:space="preserve"> </w:t>
      </w:r>
      <w:r w:rsidRPr="006F7C7D">
        <w:rPr>
          <w:rFonts w:ascii="Palatino Linotype" w:eastAsia="Calibri" w:hAnsi="Palatino Linotype" w:cs="Tahoma"/>
          <w:bCs/>
          <w:lang w:eastAsia="en-US"/>
        </w:rPr>
        <w:t>conocimiento que este Ayuntamiento no concentra la información como lo solicita.</w:t>
      </w:r>
    </w:p>
    <w:p w:rsidR="006F7C7D" w:rsidRDefault="006F7C7D" w:rsidP="00B66245">
      <w:pPr>
        <w:spacing w:line="360" w:lineRule="auto"/>
        <w:ind w:left="567" w:right="567"/>
        <w:jc w:val="both"/>
        <w:rPr>
          <w:rFonts w:ascii="Palatino Linotype" w:eastAsia="Calibri" w:hAnsi="Palatino Linotype" w:cs="Tahoma"/>
          <w:bCs/>
          <w:lang w:val="es-ES" w:eastAsia="en-US"/>
        </w:rPr>
      </w:pPr>
    </w:p>
    <w:p w:rsidR="006F7C7D" w:rsidRDefault="006F7C7D" w:rsidP="00B66245">
      <w:pPr>
        <w:spacing w:line="360" w:lineRule="auto"/>
        <w:ind w:left="567" w:right="567"/>
        <w:jc w:val="both"/>
        <w:rPr>
          <w:rFonts w:ascii="Palatino Linotype" w:eastAsia="Calibri" w:hAnsi="Palatino Linotype" w:cs="Tahoma"/>
          <w:bCs/>
          <w:lang w:val="es-ES" w:eastAsia="en-US"/>
        </w:rPr>
      </w:pPr>
    </w:p>
    <w:p w:rsidR="00D2069D" w:rsidRPr="00D2069D" w:rsidRDefault="00D2069D" w:rsidP="00D2069D">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 xml:space="preserve">[…]” </w:t>
      </w:r>
      <w:r w:rsidR="004C72EF">
        <w:rPr>
          <w:rFonts w:ascii="Palatino Linotype" w:eastAsia="Calibri" w:hAnsi="Palatino Linotype" w:cs="Tahoma"/>
          <w:bCs/>
          <w:lang w:eastAsia="en-US"/>
        </w:rPr>
        <w:t>(</w:t>
      </w:r>
      <w:r w:rsidR="004C72EF" w:rsidRPr="00E10FB5">
        <w:rPr>
          <w:rFonts w:ascii="Palatino Linotype" w:eastAsia="Calibri" w:hAnsi="Palatino Linotype" w:cs="Tahoma"/>
          <w:bCs/>
          <w:i/>
          <w:lang w:eastAsia="en-US"/>
        </w:rPr>
        <w:t>Sic.</w:t>
      </w:r>
      <w:r w:rsidR="004C72EF">
        <w:rPr>
          <w:rFonts w:ascii="Palatino Linotype" w:eastAsia="Calibri" w:hAnsi="Palatino Linotype" w:cs="Tahoma"/>
          <w:bCs/>
          <w:lang w:eastAsia="en-US"/>
        </w:rPr>
        <w:t>)</w:t>
      </w:r>
    </w:p>
    <w:p w:rsidR="00C614A6" w:rsidRPr="00054E79" w:rsidRDefault="00C614A6" w:rsidP="00D9652C">
      <w:pPr>
        <w:spacing w:line="360" w:lineRule="auto"/>
        <w:jc w:val="both"/>
        <w:rPr>
          <w:rFonts w:ascii="Palatino Linotype" w:eastAsia="Calibri" w:hAnsi="Palatino Linotype" w:cs="Tahoma"/>
          <w:bCs/>
          <w:sz w:val="22"/>
          <w:szCs w:val="22"/>
          <w:lang w:val="es-ES" w:eastAsia="en-US"/>
        </w:rPr>
      </w:pPr>
    </w:p>
    <w:p w:rsidR="00806E45" w:rsidRPr="00054E79" w:rsidRDefault="00E20FF6"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III</w:t>
      </w:r>
      <w:r w:rsidR="00806E45" w:rsidRPr="00054E79">
        <w:rPr>
          <w:rFonts w:ascii="Palatino Linotype" w:eastAsia="Calibri" w:hAnsi="Palatino Linotype" w:cs="Tahoma"/>
          <w:b/>
          <w:bCs/>
          <w:sz w:val="22"/>
          <w:szCs w:val="22"/>
          <w:lang w:val="es-ES" w:eastAsia="en-US"/>
        </w:rPr>
        <w:t xml:space="preserve">. Interposición del Recurso de Revisión. </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5726B1"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Con fecha </w:t>
      </w:r>
      <w:r w:rsidR="000272E4">
        <w:rPr>
          <w:rFonts w:ascii="Palatino Linotype" w:eastAsia="Calibri" w:hAnsi="Palatino Linotype" w:cs="Tahoma"/>
          <w:bCs/>
          <w:sz w:val="22"/>
          <w:szCs w:val="22"/>
          <w:lang w:val="es-ES" w:eastAsia="en-US"/>
        </w:rPr>
        <w:t>cuatro de octubre</w:t>
      </w:r>
      <w:r w:rsidR="00806E45" w:rsidRPr="00054E79">
        <w:rPr>
          <w:rFonts w:ascii="Palatino Linotype" w:eastAsia="Calibri" w:hAnsi="Palatino Linotype" w:cs="Tahoma"/>
          <w:bCs/>
          <w:sz w:val="22"/>
          <w:szCs w:val="22"/>
          <w:lang w:val="es-ES" w:eastAsia="en-US"/>
        </w:rPr>
        <w:t xml:space="preserve"> de dos mil dieciocho, </w:t>
      </w:r>
      <w:r w:rsidR="00806E45" w:rsidRPr="00054E79">
        <w:rPr>
          <w:rFonts w:ascii="Palatino Linotype" w:eastAsia="Calibri" w:hAnsi="Palatino Linotype" w:cs="Tahoma"/>
          <w:bCs/>
          <w:sz w:val="22"/>
          <w:szCs w:val="22"/>
          <w:lang w:eastAsia="en-US"/>
        </w:rPr>
        <w:t xml:space="preserve">mediante el </w:t>
      </w:r>
      <w:r w:rsidR="00806E45" w:rsidRPr="00054E79">
        <w:rPr>
          <w:rFonts w:ascii="Palatino Linotype" w:eastAsia="Calibri" w:hAnsi="Palatino Linotype" w:cs="Tahoma"/>
          <w:bCs/>
          <w:sz w:val="22"/>
          <w:szCs w:val="22"/>
          <w:lang w:val="es-ES" w:eastAsia="en-US"/>
        </w:rPr>
        <w:t xml:space="preserve">Sistema de Acceso a la Información Mexiquense (SAIMEX), se recibió en este </w:t>
      </w:r>
      <w:r w:rsidR="00806E45" w:rsidRPr="00054E79">
        <w:rPr>
          <w:rFonts w:ascii="Palatino Linotype" w:eastAsia="Calibri" w:hAnsi="Palatino Linotype" w:cs="Tahoma"/>
          <w:bCs/>
          <w:sz w:val="22"/>
          <w:szCs w:val="22"/>
          <w:lang w:eastAsia="en-US"/>
        </w:rPr>
        <w:t>Instituto</w:t>
      </w:r>
      <w:r w:rsidR="00602617">
        <w:rPr>
          <w:rFonts w:ascii="Palatino Linotype" w:eastAsia="Calibri" w:hAnsi="Palatino Linotype" w:cs="Tahoma"/>
          <w:bCs/>
          <w:sz w:val="22"/>
          <w:szCs w:val="22"/>
          <w:lang w:eastAsia="en-US"/>
        </w:rPr>
        <w:t>,</w:t>
      </w:r>
      <w:r w:rsidR="00806E45" w:rsidRPr="00054E79">
        <w:rPr>
          <w:rFonts w:ascii="Palatino Linotype" w:eastAsia="Calibri" w:hAnsi="Palatino Linotype" w:cs="Tahoma"/>
          <w:bCs/>
          <w:sz w:val="22"/>
          <w:szCs w:val="22"/>
          <w:lang w:eastAsia="en-US"/>
        </w:rPr>
        <w:t xml:space="preserve"> </w:t>
      </w:r>
      <w:r w:rsidR="00806E45" w:rsidRPr="00054E79">
        <w:rPr>
          <w:rFonts w:ascii="Palatino Linotype" w:eastAsia="Calibri" w:hAnsi="Palatino Linotype" w:cs="Tahoma"/>
          <w:bCs/>
          <w:sz w:val="22"/>
          <w:szCs w:val="22"/>
          <w:lang w:val="es-ES" w:eastAsia="en-US"/>
        </w:rPr>
        <w:t xml:space="preserve">el Recurso </w:t>
      </w:r>
      <w:r w:rsidR="00DB760D">
        <w:rPr>
          <w:rFonts w:ascii="Palatino Linotype" w:eastAsia="Calibri" w:hAnsi="Palatino Linotype" w:cs="Tahoma"/>
          <w:bCs/>
          <w:sz w:val="22"/>
          <w:szCs w:val="22"/>
          <w:lang w:val="es-ES" w:eastAsia="en-US"/>
        </w:rPr>
        <w:t>de Revisión interpuesto por el</w:t>
      </w:r>
      <w:r w:rsidRPr="00054E79">
        <w:rPr>
          <w:rFonts w:ascii="Palatino Linotype" w:eastAsia="Calibri" w:hAnsi="Palatino Linotype" w:cs="Tahoma"/>
          <w:bCs/>
          <w:sz w:val="22"/>
          <w:szCs w:val="22"/>
          <w:lang w:val="es-ES" w:eastAsia="en-US"/>
        </w:rPr>
        <w:t xml:space="preserve"> </w:t>
      </w:r>
      <w:r w:rsidR="00602617">
        <w:rPr>
          <w:rFonts w:ascii="Palatino Linotype" w:eastAsia="Calibri" w:hAnsi="Palatino Linotype" w:cs="Tahoma"/>
          <w:bCs/>
          <w:sz w:val="22"/>
          <w:szCs w:val="22"/>
          <w:lang w:val="es-ES" w:eastAsia="en-US"/>
        </w:rPr>
        <w:t>Particular</w:t>
      </w:r>
      <w:r w:rsidR="00806E45" w:rsidRPr="00054E79">
        <w:rPr>
          <w:rFonts w:ascii="Palatino Linotype" w:eastAsia="Calibri" w:hAnsi="Palatino Linotype" w:cs="Tahoma"/>
          <w:bCs/>
          <w:sz w:val="22"/>
          <w:szCs w:val="22"/>
          <w:lang w:val="es-ES" w:eastAsia="en-US"/>
        </w:rPr>
        <w:t xml:space="preserve">, en contra de la respuesta otorgada por </w:t>
      </w:r>
      <w:r w:rsidRPr="00054E79">
        <w:rPr>
          <w:rFonts w:ascii="Palatino Linotype" w:eastAsia="Calibri" w:hAnsi="Palatino Linotype" w:cs="Tahoma"/>
          <w:bCs/>
          <w:sz w:val="22"/>
          <w:szCs w:val="22"/>
          <w:lang w:val="es-ES" w:eastAsia="en-US"/>
        </w:rPr>
        <w:t xml:space="preserve">el </w:t>
      </w:r>
      <w:r w:rsidR="000272E4">
        <w:rPr>
          <w:rFonts w:ascii="Palatino Linotype" w:eastAsia="Calibri" w:hAnsi="Palatino Linotype" w:cs="Tahoma"/>
          <w:bCs/>
          <w:sz w:val="22"/>
          <w:szCs w:val="22"/>
          <w:lang w:val="es-ES" w:eastAsia="en-US"/>
        </w:rPr>
        <w:t>Ayuntamiento de Cuautitlán Izcalli</w:t>
      </w:r>
      <w:r w:rsidR="00806E45"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eastAsia="en-US"/>
        </w:rPr>
        <w:t>en los términos siguientes:</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806E45" w:rsidRPr="00054E79" w:rsidRDefault="00806E45" w:rsidP="00D9652C">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rsidR="00806E45" w:rsidRDefault="000272E4" w:rsidP="00D9652C">
      <w:pPr>
        <w:spacing w:line="360" w:lineRule="auto"/>
        <w:ind w:left="567" w:right="567"/>
        <w:jc w:val="both"/>
        <w:rPr>
          <w:rFonts w:ascii="Palatino Linotype" w:eastAsia="Calibri" w:hAnsi="Palatino Linotype" w:cs="Tahoma"/>
          <w:bCs/>
          <w:lang w:eastAsia="en-US"/>
        </w:rPr>
      </w:pPr>
      <w:r w:rsidRPr="000272E4">
        <w:rPr>
          <w:rFonts w:ascii="Palatino Linotype" w:eastAsia="Calibri" w:hAnsi="Palatino Linotype" w:cs="Tahoma"/>
          <w:bCs/>
          <w:lang w:eastAsia="en-US"/>
        </w:rPr>
        <w:t xml:space="preserve">No se me </w:t>
      </w:r>
      <w:proofErr w:type="spellStart"/>
      <w:r w:rsidRPr="000272E4">
        <w:rPr>
          <w:rFonts w:ascii="Palatino Linotype" w:eastAsia="Calibri" w:hAnsi="Palatino Linotype" w:cs="Tahoma"/>
          <w:bCs/>
          <w:lang w:eastAsia="en-US"/>
        </w:rPr>
        <w:t>dió</w:t>
      </w:r>
      <w:proofErr w:type="spellEnd"/>
      <w:r w:rsidRPr="000272E4">
        <w:rPr>
          <w:rFonts w:ascii="Palatino Linotype" w:eastAsia="Calibri" w:hAnsi="Palatino Linotype" w:cs="Tahoma"/>
          <w:bCs/>
          <w:lang w:eastAsia="en-US"/>
        </w:rPr>
        <w:t xml:space="preserve"> la información solicitada.</w:t>
      </w:r>
      <w:r>
        <w:rPr>
          <w:rFonts w:ascii="Palatino Linotype" w:eastAsia="Calibri" w:hAnsi="Palatino Linotype" w:cs="Tahoma"/>
          <w:bCs/>
          <w:lang w:eastAsia="en-US"/>
        </w:rPr>
        <w:t xml:space="preserve"> (Sic)</w:t>
      </w:r>
    </w:p>
    <w:p w:rsidR="000272E4" w:rsidRPr="00054E79" w:rsidRDefault="000272E4" w:rsidP="00D9652C">
      <w:pPr>
        <w:spacing w:line="360" w:lineRule="auto"/>
        <w:ind w:left="567" w:right="567"/>
        <w:jc w:val="both"/>
        <w:rPr>
          <w:rFonts w:ascii="Palatino Linotype" w:eastAsia="Calibri" w:hAnsi="Palatino Linotype" w:cs="Tahoma"/>
          <w:bCs/>
          <w:lang w:val="es-ES" w:eastAsia="en-US"/>
        </w:rPr>
      </w:pPr>
    </w:p>
    <w:p w:rsidR="00806E45" w:rsidRPr="00054E79" w:rsidRDefault="00806E45" w:rsidP="00D9652C">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RAZONES O MOTIVOS DE LA INCONFORMIDAD</w:t>
      </w:r>
    </w:p>
    <w:p w:rsidR="00806E45" w:rsidRDefault="000272E4" w:rsidP="00D9652C">
      <w:pPr>
        <w:spacing w:line="360" w:lineRule="auto"/>
        <w:ind w:left="567" w:right="567"/>
        <w:jc w:val="both"/>
        <w:rPr>
          <w:rFonts w:ascii="Palatino Linotype" w:eastAsia="Calibri" w:hAnsi="Palatino Linotype" w:cs="Tahoma"/>
          <w:bCs/>
          <w:lang w:eastAsia="en-US"/>
        </w:rPr>
      </w:pPr>
      <w:r w:rsidRPr="000272E4">
        <w:rPr>
          <w:rFonts w:ascii="Palatino Linotype" w:eastAsia="Calibri" w:hAnsi="Palatino Linotype" w:cs="Tahoma"/>
          <w:bCs/>
          <w:lang w:eastAsia="en-US"/>
        </w:rPr>
        <w:t xml:space="preserve">La respuesta que se me </w:t>
      </w:r>
      <w:proofErr w:type="spellStart"/>
      <w:r w:rsidRPr="000272E4">
        <w:rPr>
          <w:rFonts w:ascii="Palatino Linotype" w:eastAsia="Calibri" w:hAnsi="Palatino Linotype" w:cs="Tahoma"/>
          <w:bCs/>
          <w:lang w:eastAsia="en-US"/>
        </w:rPr>
        <w:t>dió</w:t>
      </w:r>
      <w:proofErr w:type="spellEnd"/>
      <w:r w:rsidRPr="000272E4">
        <w:rPr>
          <w:rFonts w:ascii="Palatino Linotype" w:eastAsia="Calibri" w:hAnsi="Palatino Linotype" w:cs="Tahoma"/>
          <w:bCs/>
          <w:lang w:eastAsia="en-US"/>
        </w:rPr>
        <w:t xml:space="preserve"> no contiene la información que solicite, además no </w:t>
      </w:r>
      <w:proofErr w:type="spellStart"/>
      <w:r w:rsidRPr="000272E4">
        <w:rPr>
          <w:rFonts w:ascii="Palatino Linotype" w:eastAsia="Calibri" w:hAnsi="Palatino Linotype" w:cs="Tahoma"/>
          <w:bCs/>
          <w:lang w:eastAsia="en-US"/>
        </w:rPr>
        <w:t>esta</w:t>
      </w:r>
      <w:proofErr w:type="spellEnd"/>
      <w:r w:rsidRPr="000272E4">
        <w:rPr>
          <w:rFonts w:ascii="Palatino Linotype" w:eastAsia="Calibri" w:hAnsi="Palatino Linotype" w:cs="Tahoma"/>
          <w:bCs/>
          <w:lang w:eastAsia="en-US"/>
        </w:rPr>
        <w:t xml:space="preserve"> en un formato comprensible para el ciudadano y no está motivada. </w:t>
      </w:r>
      <w:r w:rsidR="005726B1" w:rsidRPr="000272E4">
        <w:rPr>
          <w:rFonts w:ascii="Palatino Linotype" w:eastAsia="Calibri" w:hAnsi="Palatino Linotype" w:cs="Tahoma"/>
          <w:bCs/>
          <w:lang w:eastAsia="en-US"/>
        </w:rPr>
        <w:t>(Sic)</w:t>
      </w:r>
    </w:p>
    <w:p w:rsidR="000272E4" w:rsidRDefault="000272E4" w:rsidP="00D9652C">
      <w:pPr>
        <w:spacing w:line="360" w:lineRule="auto"/>
        <w:ind w:left="567" w:right="567"/>
        <w:jc w:val="both"/>
        <w:rPr>
          <w:rFonts w:ascii="Palatino Linotype" w:eastAsia="Calibri" w:hAnsi="Palatino Linotype" w:cs="Tahoma"/>
          <w:bCs/>
          <w:lang w:eastAsia="en-US"/>
        </w:rPr>
      </w:pPr>
    </w:p>
    <w:p w:rsidR="000272E4" w:rsidRPr="000272E4" w:rsidRDefault="000272E4" w:rsidP="00D9652C">
      <w:pPr>
        <w:spacing w:line="360" w:lineRule="auto"/>
        <w:ind w:left="567" w:right="567"/>
        <w:jc w:val="both"/>
        <w:rPr>
          <w:rFonts w:ascii="Palatino Linotype" w:eastAsia="Calibri" w:hAnsi="Palatino Linotype" w:cs="Tahoma"/>
          <w:b/>
          <w:bCs/>
          <w:lang w:eastAsia="en-US"/>
        </w:rPr>
      </w:pPr>
      <w:r w:rsidRPr="000272E4">
        <w:rPr>
          <w:rFonts w:ascii="Palatino Linotype" w:eastAsia="Calibri" w:hAnsi="Palatino Linotype" w:cs="Tahoma"/>
          <w:b/>
          <w:bCs/>
          <w:lang w:eastAsia="en-US"/>
        </w:rPr>
        <w:t>DOCUMENTOS ANEXOS</w:t>
      </w:r>
    </w:p>
    <w:p w:rsidR="000272E4" w:rsidRDefault="000272E4" w:rsidP="00D9652C">
      <w:pPr>
        <w:spacing w:line="360" w:lineRule="auto"/>
        <w:ind w:left="567" w:right="567"/>
        <w:jc w:val="both"/>
        <w:rPr>
          <w:rFonts w:ascii="Palatino Linotype" w:eastAsia="Calibri" w:hAnsi="Palatino Linotype" w:cs="Tahoma"/>
          <w:bCs/>
          <w:lang w:eastAsia="en-US"/>
        </w:rPr>
      </w:pPr>
      <w:r w:rsidRPr="000272E4">
        <w:rPr>
          <w:rFonts w:ascii="Palatino Linotype" w:eastAsia="Calibri" w:hAnsi="Palatino Linotype" w:cs="Tahoma"/>
          <w:bCs/>
          <w:lang w:eastAsia="en-US"/>
        </w:rPr>
        <w:t>Acuse de respuesta a mi solicitud.</w:t>
      </w:r>
    </w:p>
    <w:p w:rsidR="00806E45" w:rsidRDefault="00806E45" w:rsidP="00176BDF">
      <w:pPr>
        <w:spacing w:line="360" w:lineRule="auto"/>
        <w:ind w:right="567"/>
        <w:jc w:val="both"/>
        <w:rPr>
          <w:rFonts w:ascii="Palatino Linotype" w:eastAsia="Calibri" w:hAnsi="Palatino Linotype" w:cs="Tahoma"/>
          <w:bCs/>
          <w:sz w:val="22"/>
          <w:szCs w:val="22"/>
          <w:lang w:eastAsia="en-US"/>
        </w:rPr>
      </w:pPr>
    </w:p>
    <w:p w:rsidR="000272E4" w:rsidRDefault="000272E4" w:rsidP="00176BDF">
      <w:pPr>
        <w:spacing w:line="360" w:lineRule="auto"/>
        <w:ind w:right="567"/>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Cabe resaltar que a su recurso de revisión, el Particular adjuntó el acuse de notificación de la repuesta otorgada por el Ayuntamiento de Cuautitlán Izcalli a la solicitud de información que nos ocupa; documento transcrito en el antecedente número II de la presente resolución, por lo que se tiene por reproducido como si a la letra se insertase.</w:t>
      </w:r>
    </w:p>
    <w:p w:rsidR="000272E4" w:rsidRPr="00054E79" w:rsidRDefault="000272E4" w:rsidP="00176BDF">
      <w:pPr>
        <w:spacing w:line="360" w:lineRule="auto"/>
        <w:ind w:right="567"/>
        <w:jc w:val="both"/>
        <w:rPr>
          <w:rFonts w:ascii="Palatino Linotype" w:eastAsia="Calibri" w:hAnsi="Palatino Linotype" w:cs="Tahoma"/>
          <w:bCs/>
          <w:sz w:val="22"/>
          <w:szCs w:val="22"/>
          <w:lang w:eastAsia="en-US"/>
        </w:rPr>
      </w:pPr>
    </w:p>
    <w:p w:rsidR="00806E45" w:rsidRPr="00054E79" w:rsidRDefault="00E20FF6"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I</w:t>
      </w:r>
      <w:r w:rsidR="00806E45" w:rsidRPr="00054E79">
        <w:rPr>
          <w:rFonts w:ascii="Palatino Linotype" w:eastAsia="Calibri" w:hAnsi="Palatino Linotype" w:cs="Tahoma"/>
          <w:b/>
          <w:bCs/>
          <w:sz w:val="22"/>
          <w:szCs w:val="22"/>
          <w:lang w:val="es-ES" w:eastAsia="en-US"/>
        </w:rPr>
        <w:t>V. Trámite del Recurso de Revisión ante el Instituto.</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val="es-ES" w:eastAsia="en-US"/>
        </w:rPr>
        <w:t xml:space="preserve">a) Turno del Recurso de Revisión. </w:t>
      </w:r>
      <w:r w:rsidRPr="00054E79">
        <w:rPr>
          <w:rFonts w:ascii="Palatino Linotype" w:eastAsia="Calibri" w:hAnsi="Palatino Linotype" w:cs="Tahoma"/>
          <w:bCs/>
          <w:sz w:val="22"/>
          <w:szCs w:val="22"/>
          <w:lang w:eastAsia="en-US"/>
        </w:rPr>
        <w:t xml:space="preserve">Con fecha </w:t>
      </w:r>
      <w:r w:rsidR="000272E4">
        <w:rPr>
          <w:rFonts w:ascii="Palatino Linotype" w:eastAsia="Calibri" w:hAnsi="Palatino Linotype" w:cs="Tahoma"/>
          <w:bCs/>
          <w:sz w:val="22"/>
          <w:szCs w:val="22"/>
          <w:lang w:eastAsia="en-US"/>
        </w:rPr>
        <w:t>cuatro de octubre</w:t>
      </w:r>
      <w:r w:rsidRPr="00054E79">
        <w:rPr>
          <w:rFonts w:ascii="Palatino Linotype" w:eastAsia="Calibri" w:hAnsi="Palatino Linotype" w:cs="Tahoma"/>
          <w:bCs/>
          <w:sz w:val="22"/>
          <w:szCs w:val="22"/>
          <w:lang w:eastAsia="en-US"/>
        </w:rPr>
        <w:t xml:space="preserve"> de dos mil dieciocho, el Sistema de Acceso a la Información Mexiquense</w:t>
      </w:r>
      <w:r w:rsidR="00602617">
        <w:rPr>
          <w:rFonts w:ascii="Palatino Linotype" w:eastAsia="Calibri" w:hAnsi="Palatino Linotype" w:cs="Tahoma"/>
          <w:bCs/>
          <w:sz w:val="22"/>
          <w:szCs w:val="22"/>
          <w:lang w:eastAsia="en-US"/>
        </w:rPr>
        <w:t xml:space="preserve"> (SAIMEX),</w:t>
      </w:r>
      <w:r w:rsidRPr="00054E79">
        <w:rPr>
          <w:rFonts w:ascii="Palatino Linotype" w:eastAsia="Calibri" w:hAnsi="Palatino Linotype" w:cs="Tahoma"/>
          <w:bCs/>
          <w:sz w:val="22"/>
          <w:szCs w:val="22"/>
          <w:lang w:eastAsia="en-US"/>
        </w:rPr>
        <w:t xml:space="preserve"> asignó el número de expediente </w:t>
      </w:r>
      <w:r w:rsidR="000272E4">
        <w:rPr>
          <w:rFonts w:ascii="Palatino Linotype" w:eastAsia="Calibri" w:hAnsi="Palatino Linotype" w:cs="Tahoma"/>
          <w:b/>
          <w:bCs/>
          <w:sz w:val="22"/>
          <w:szCs w:val="22"/>
          <w:lang w:eastAsia="en-US"/>
        </w:rPr>
        <w:lastRenderedPageBreak/>
        <w:t>03746</w:t>
      </w:r>
      <w:r w:rsidR="00921F37" w:rsidRPr="00054E79">
        <w:rPr>
          <w:rFonts w:ascii="Palatino Linotype" w:eastAsia="Calibri" w:hAnsi="Palatino Linotype" w:cs="Tahoma"/>
          <w:b/>
          <w:bCs/>
          <w:sz w:val="22"/>
          <w:szCs w:val="22"/>
          <w:lang w:eastAsia="en-US"/>
        </w:rPr>
        <w:t>/INFOEM/IP/RR/2018</w:t>
      </w:r>
      <w:r w:rsidR="00176BDF" w:rsidRPr="00054E79">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 xml:space="preserve">al Recurso de Revisión y lo turnó al Comisionado Ponente </w:t>
      </w:r>
      <w:r w:rsidRPr="00054E79">
        <w:rPr>
          <w:rFonts w:ascii="Palatino Linotype" w:eastAsia="Calibri" w:hAnsi="Palatino Linotype" w:cs="Tahoma"/>
          <w:b/>
          <w:bCs/>
          <w:sz w:val="22"/>
          <w:szCs w:val="22"/>
          <w:lang w:eastAsia="en-US"/>
        </w:rPr>
        <w:t>Luis Gustavo Parra Noriega</w:t>
      </w:r>
      <w:r w:rsidRPr="00054E79">
        <w:rPr>
          <w:rFonts w:ascii="Palatino Linotype" w:eastAsia="Calibri" w:hAnsi="Palatino Linotype" w:cs="Tahoma"/>
          <w:bCs/>
          <w:sz w:val="22"/>
          <w:szCs w:val="22"/>
          <w:lang w:eastAsia="en-US"/>
        </w:rPr>
        <w:t>, para los efectos del artículo 185, fracción I</w:t>
      </w:r>
      <w:r w:rsidR="00534263">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Con fecha </w:t>
      </w:r>
      <w:r w:rsidR="007D2976">
        <w:rPr>
          <w:rFonts w:ascii="Palatino Linotype" w:eastAsia="Calibri" w:hAnsi="Palatino Linotype" w:cs="Tahoma"/>
          <w:bCs/>
          <w:sz w:val="22"/>
          <w:szCs w:val="22"/>
          <w:lang w:val="es-ES_tradnl" w:eastAsia="en-US"/>
        </w:rPr>
        <w:t>diez</w:t>
      </w:r>
      <w:r w:rsidR="00DB760D">
        <w:rPr>
          <w:rFonts w:ascii="Palatino Linotype" w:eastAsia="Calibri" w:hAnsi="Palatino Linotype" w:cs="Tahoma"/>
          <w:bCs/>
          <w:sz w:val="22"/>
          <w:szCs w:val="22"/>
          <w:lang w:val="es-ES_tradnl" w:eastAsia="en-US"/>
        </w:rPr>
        <w:t xml:space="preserve"> de octubre</w:t>
      </w:r>
      <w:r w:rsidRPr="00054E79">
        <w:rPr>
          <w:rFonts w:ascii="Palatino Linotype" w:eastAsia="Calibri" w:hAnsi="Palatino Linotype" w:cs="Tahoma"/>
          <w:bCs/>
          <w:sz w:val="22"/>
          <w:szCs w:val="22"/>
          <w:lang w:val="es-ES_tradnl" w:eastAsia="en-US"/>
        </w:rPr>
        <w:t xml:space="preserve"> de dos mil dieciocho, 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w:t>
      </w:r>
      <w:r w:rsidRPr="007D2976">
        <w:rPr>
          <w:rFonts w:ascii="Palatino Linotype" w:eastAsia="Calibri" w:hAnsi="Palatino Linotype" w:cs="Tahoma"/>
          <w:b/>
          <w:bCs/>
          <w:sz w:val="22"/>
          <w:szCs w:val="22"/>
          <w:lang w:val="es-ES" w:eastAsia="en-US"/>
        </w:rPr>
        <w:t>l Recurso de Revisión</w:t>
      </w:r>
      <w:r w:rsidRPr="00054E79">
        <w:rPr>
          <w:rFonts w:ascii="Palatino Linotype" w:eastAsia="Calibri" w:hAnsi="Palatino Linotype" w:cs="Tahoma"/>
          <w:bCs/>
          <w:sz w:val="22"/>
          <w:szCs w:val="22"/>
          <w:lang w:val="es-ES" w:eastAsia="en-US"/>
        </w:rPr>
        <w:t xml:space="preserve"> interpuesto por </w:t>
      </w:r>
      <w:r w:rsidR="007D2976">
        <w:rPr>
          <w:rFonts w:ascii="Palatino Linotype" w:eastAsia="Calibri" w:hAnsi="Palatino Linotype" w:cs="Tahoma"/>
          <w:bCs/>
          <w:sz w:val="22"/>
          <w:szCs w:val="22"/>
          <w:lang w:val="es-ES" w:eastAsia="en-US"/>
        </w:rPr>
        <w:t>el</w:t>
      </w:r>
      <w:r w:rsidRPr="00054E79">
        <w:rPr>
          <w:rFonts w:ascii="Palatino Linotype" w:eastAsia="Calibri" w:hAnsi="Palatino Linotype" w:cs="Tahoma"/>
          <w:bCs/>
          <w:sz w:val="22"/>
          <w:szCs w:val="22"/>
          <w:lang w:val="es-ES" w:eastAsia="en-US"/>
        </w:rPr>
        <w:t xml:space="preserve"> </w:t>
      </w:r>
      <w:r w:rsidR="00534263">
        <w:rPr>
          <w:rFonts w:ascii="Palatino Linotype" w:eastAsia="Calibri" w:hAnsi="Palatino Linotype" w:cs="Tahoma"/>
          <w:bCs/>
          <w:sz w:val="22"/>
          <w:szCs w:val="22"/>
          <w:lang w:val="es-ES" w:eastAsia="en-US"/>
        </w:rPr>
        <w:t>R</w:t>
      </w:r>
      <w:r w:rsidR="00534263" w:rsidRPr="00054E79">
        <w:rPr>
          <w:rFonts w:ascii="Palatino Linotype" w:eastAsia="Calibri" w:hAnsi="Palatino Linotype" w:cs="Tahoma"/>
          <w:bCs/>
          <w:sz w:val="22"/>
          <w:szCs w:val="22"/>
          <w:lang w:val="es-ES" w:eastAsia="en-US"/>
        </w:rPr>
        <w:t xml:space="preserve">ecurrente </w:t>
      </w:r>
      <w:r w:rsidRPr="00054E79">
        <w:rPr>
          <w:rFonts w:ascii="Palatino Linotype" w:eastAsia="Calibri" w:hAnsi="Palatino Linotype" w:cs="Tahoma"/>
          <w:bCs/>
          <w:sz w:val="22"/>
          <w:szCs w:val="22"/>
          <w:lang w:val="es-ES" w:eastAsia="en-US"/>
        </w:rPr>
        <w:t xml:space="preserve">en contra de la respuesta otorgada por </w:t>
      </w:r>
      <w:r w:rsidR="000879FC" w:rsidRPr="00054E79">
        <w:rPr>
          <w:rFonts w:ascii="Palatino Linotype" w:eastAsia="Calibri" w:hAnsi="Palatino Linotype" w:cs="Tahoma"/>
          <w:bCs/>
          <w:sz w:val="22"/>
          <w:szCs w:val="22"/>
          <w:lang w:val="es-ES" w:eastAsia="en-US"/>
        </w:rPr>
        <w:t xml:space="preserve">el </w:t>
      </w:r>
      <w:r w:rsidR="007D2976">
        <w:rPr>
          <w:rFonts w:ascii="Palatino Linotype" w:eastAsia="Calibri" w:hAnsi="Palatino Linotype" w:cs="Tahoma"/>
          <w:b/>
          <w:bCs/>
          <w:sz w:val="22"/>
          <w:szCs w:val="22"/>
          <w:lang w:val="es-ES" w:eastAsia="en-US"/>
        </w:rPr>
        <w:t>Ayuntamiento de Cuautitlán Izcalli</w:t>
      </w:r>
      <w:r w:rsidR="00176BDF" w:rsidRPr="00054E79">
        <w:rPr>
          <w:rFonts w:ascii="Palatino Linotype" w:eastAsia="Calibri" w:hAnsi="Palatino Linotype" w:cs="Tahoma"/>
          <w:bCs/>
          <w:sz w:val="22"/>
          <w:szCs w:val="22"/>
          <w:lang w:val="es-ES" w:eastAsia="en-US"/>
        </w:rPr>
        <w:t xml:space="preserve">, la </w:t>
      </w:r>
      <w:r w:rsidR="00176BDF" w:rsidRPr="00054E79">
        <w:rPr>
          <w:rFonts w:ascii="Palatino Linotype" w:eastAsia="Calibri" w:hAnsi="Palatino Linotype" w:cs="Tahoma"/>
          <w:b/>
          <w:bCs/>
          <w:sz w:val="22"/>
          <w:szCs w:val="22"/>
          <w:lang w:val="es-ES" w:eastAsia="en-US"/>
        </w:rPr>
        <w:t xml:space="preserve">integración del expediente </w:t>
      </w:r>
      <w:r w:rsidR="00176BDF" w:rsidRPr="00054E79">
        <w:rPr>
          <w:rFonts w:ascii="Palatino Linotype" w:eastAsia="Calibri" w:hAnsi="Palatino Linotype" w:cs="Tahoma"/>
          <w:bCs/>
          <w:sz w:val="22"/>
          <w:szCs w:val="22"/>
          <w:lang w:val="es-ES" w:eastAsia="en-US"/>
        </w:rPr>
        <w:t xml:space="preserve">y </w:t>
      </w:r>
      <w:r w:rsidR="00176BDF" w:rsidRPr="00054E79">
        <w:rPr>
          <w:rFonts w:ascii="Palatino Linotype" w:eastAsia="Calibri" w:hAnsi="Palatino Linotype" w:cs="Tahoma"/>
          <w:b/>
          <w:bCs/>
          <w:sz w:val="22"/>
          <w:szCs w:val="22"/>
          <w:lang w:val="es-ES" w:eastAsia="en-US"/>
        </w:rPr>
        <w:t xml:space="preserve">su puesta a disposición </w:t>
      </w:r>
      <w:r w:rsidR="00176BDF" w:rsidRPr="00054E79">
        <w:rPr>
          <w:rFonts w:ascii="Palatino Linotype" w:eastAsia="Calibri" w:hAnsi="Palatino Linotype" w:cs="Tahoma"/>
          <w:bCs/>
          <w:sz w:val="22"/>
          <w:szCs w:val="22"/>
          <w:lang w:val="es-ES" w:eastAsia="en-US"/>
        </w:rPr>
        <w:t xml:space="preserve">de las partes, </w:t>
      </w:r>
      <w:r w:rsidRPr="00054E79">
        <w:rPr>
          <w:rFonts w:ascii="Palatino Linotype" w:eastAsia="Calibri" w:hAnsi="Palatino Linotype" w:cs="Tahoma"/>
          <w:bCs/>
          <w:sz w:val="22"/>
          <w:szCs w:val="22"/>
          <w:lang w:val="es-ES" w:eastAsia="en-US"/>
        </w:rPr>
        <w:t>en términos del a</w:t>
      </w:r>
      <w:r w:rsidR="00176BDF" w:rsidRPr="00054E79">
        <w:rPr>
          <w:rFonts w:ascii="Palatino Linotype" w:eastAsia="Calibri" w:hAnsi="Palatino Linotype" w:cs="Tahoma"/>
          <w:bCs/>
          <w:sz w:val="22"/>
          <w:szCs w:val="22"/>
          <w:lang w:val="es-ES" w:eastAsia="en-US"/>
        </w:rPr>
        <w:t>rtículo 185, fracciones I y</w:t>
      </w:r>
      <w:r w:rsidRPr="00054E79">
        <w:rPr>
          <w:rFonts w:ascii="Palatino Linotype" w:eastAsia="Calibri" w:hAnsi="Palatino Linotype" w:cs="Tahoma"/>
          <w:bCs/>
          <w:sz w:val="22"/>
          <w:szCs w:val="22"/>
          <w:lang w:val="es-ES" w:eastAsia="en-US"/>
        </w:rPr>
        <w:t xml:space="preserve"> II</w:t>
      </w:r>
      <w:r w:rsidR="0053426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xml:space="preserve"> de la </w:t>
      </w:r>
      <w:r w:rsidRPr="00054E79">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 otorgándoles un plazo de siete días hábiles posteriores a dicha notificaciones para que manifestaran lo que a su derecho c</w:t>
      </w:r>
      <w:r w:rsidR="00176BDF" w:rsidRPr="00054E79">
        <w:rPr>
          <w:rFonts w:ascii="Palatino Linotype" w:eastAsia="Calibri" w:hAnsi="Palatino Linotype" w:cs="Tahoma"/>
          <w:bCs/>
          <w:sz w:val="22"/>
          <w:szCs w:val="22"/>
          <w:lang w:eastAsia="en-US"/>
        </w:rPr>
        <w:t xml:space="preserve">onviniera y formularan alegatos, </w:t>
      </w:r>
      <w:r w:rsidR="00176BDF" w:rsidRPr="00054E79">
        <w:rPr>
          <w:rFonts w:ascii="Palatino Linotype" w:eastAsia="Calibri" w:hAnsi="Palatino Linotype" w:cs="Tahoma"/>
          <w:bCs/>
          <w:sz w:val="22"/>
          <w:szCs w:val="22"/>
          <w:lang w:val="es-ES" w:eastAsia="en-US"/>
        </w:rPr>
        <w:t>en términos del artículo 185, fracción IV</w:t>
      </w:r>
      <w:r w:rsidR="00534263">
        <w:rPr>
          <w:rFonts w:ascii="Palatino Linotype" w:eastAsia="Calibri" w:hAnsi="Palatino Linotype" w:cs="Tahoma"/>
          <w:bCs/>
          <w:sz w:val="22"/>
          <w:szCs w:val="22"/>
          <w:lang w:val="es-ES" w:eastAsia="en-US"/>
        </w:rPr>
        <w:t>,</w:t>
      </w:r>
      <w:r w:rsidR="00176BDF" w:rsidRPr="00054E79">
        <w:rPr>
          <w:rFonts w:ascii="Palatino Linotype" w:eastAsia="Calibri" w:hAnsi="Palatino Linotype" w:cs="Tahoma"/>
          <w:bCs/>
          <w:sz w:val="22"/>
          <w:szCs w:val="22"/>
          <w:lang w:val="es-ES" w:eastAsia="en-US"/>
        </w:rPr>
        <w:t xml:space="preserve"> de la </w:t>
      </w:r>
      <w:r w:rsidR="00176BDF" w:rsidRPr="00054E79">
        <w:rPr>
          <w:rFonts w:ascii="Palatino Linotype" w:eastAsia="Calibri" w:hAnsi="Palatino Linotype" w:cs="Tahoma"/>
          <w:bCs/>
          <w:sz w:val="22"/>
          <w:szCs w:val="22"/>
          <w:lang w:eastAsia="en-US"/>
        </w:rPr>
        <w:t>Ley de Transparencia y Acceso a la Información Pública del Estado de México y Municipios</w:t>
      </w:r>
    </w:p>
    <w:p w:rsidR="00806E45" w:rsidRPr="00054E79"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val="es-ES" w:eastAsia="en-US"/>
        </w:rPr>
        <w:t xml:space="preserve">c) Informe Justificado. </w:t>
      </w:r>
      <w:r w:rsidRPr="00054E79">
        <w:rPr>
          <w:rFonts w:ascii="Palatino Linotype" w:eastAsia="Calibri" w:hAnsi="Palatino Linotype" w:cs="Tahoma"/>
          <w:bCs/>
          <w:sz w:val="22"/>
          <w:szCs w:val="22"/>
          <w:lang w:val="es-ES_tradnl" w:eastAsia="en-US"/>
        </w:rPr>
        <w:t xml:space="preserve">Con fecha </w:t>
      </w:r>
      <w:r w:rsidR="007D2976">
        <w:rPr>
          <w:rFonts w:ascii="Palatino Linotype" w:eastAsia="Calibri" w:hAnsi="Palatino Linotype" w:cs="Tahoma"/>
          <w:bCs/>
          <w:sz w:val="22"/>
          <w:szCs w:val="22"/>
          <w:lang w:val="es-ES_tradnl" w:eastAsia="en-US"/>
        </w:rPr>
        <w:t>diecinueve</w:t>
      </w:r>
      <w:r w:rsidR="00921F37" w:rsidRPr="00054E79">
        <w:rPr>
          <w:rFonts w:ascii="Palatino Linotype" w:eastAsia="Calibri" w:hAnsi="Palatino Linotype" w:cs="Tahoma"/>
          <w:bCs/>
          <w:sz w:val="22"/>
          <w:szCs w:val="22"/>
          <w:lang w:val="es-ES_tradnl" w:eastAsia="en-US"/>
        </w:rPr>
        <w:t xml:space="preserve"> de octubre</w:t>
      </w:r>
      <w:r w:rsidRPr="00054E79">
        <w:rPr>
          <w:rFonts w:ascii="Palatino Linotype" w:eastAsia="Calibri" w:hAnsi="Palatino Linotype" w:cs="Tahoma"/>
          <w:bCs/>
          <w:sz w:val="22"/>
          <w:szCs w:val="22"/>
          <w:lang w:val="es-ES_tradnl" w:eastAsia="en-US"/>
        </w:rPr>
        <w:t xml:space="preserve"> de dos mil dieciocho, a través del </w:t>
      </w:r>
      <w:r w:rsidRPr="00054E79">
        <w:rPr>
          <w:rFonts w:ascii="Palatino Linotype" w:eastAsia="Calibri" w:hAnsi="Palatino Linotype" w:cs="Tahoma"/>
          <w:bCs/>
          <w:sz w:val="22"/>
          <w:szCs w:val="22"/>
          <w:lang w:val="es-ES" w:eastAsia="en-US"/>
        </w:rPr>
        <w:t>Sistema de Acceso a la Información Mexiquense</w:t>
      </w:r>
      <w:r w:rsidR="00534263">
        <w:rPr>
          <w:rFonts w:ascii="Palatino Linotype" w:eastAsia="Calibri" w:hAnsi="Palatino Linotype" w:cs="Tahoma"/>
          <w:bCs/>
          <w:sz w:val="22"/>
          <w:szCs w:val="22"/>
          <w:lang w:val="es-ES" w:eastAsia="en-US"/>
        </w:rPr>
        <w:t xml:space="preserve"> (SAIMEX)</w:t>
      </w:r>
      <w:r w:rsidRPr="00054E79">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_tradnl" w:eastAsia="en-US"/>
        </w:rPr>
        <w:t xml:space="preserve"> </w:t>
      </w:r>
      <w:r w:rsidR="00D706A6" w:rsidRPr="00054E79">
        <w:rPr>
          <w:rFonts w:ascii="Palatino Linotype" w:eastAsia="Calibri" w:hAnsi="Palatino Linotype" w:cs="Tahoma"/>
          <w:bCs/>
          <w:sz w:val="22"/>
          <w:szCs w:val="22"/>
          <w:lang w:val="es-ES_tradnl" w:eastAsia="en-US"/>
        </w:rPr>
        <w:t>se recibió en este Instituto</w:t>
      </w:r>
      <w:r w:rsidR="00A4726C" w:rsidRPr="00054E79">
        <w:rPr>
          <w:rFonts w:ascii="Palatino Linotype" w:eastAsia="Calibri" w:hAnsi="Palatino Linotype" w:cs="Tahoma"/>
          <w:bCs/>
          <w:sz w:val="22"/>
          <w:szCs w:val="22"/>
          <w:lang w:val="es-ES_tradnl" w:eastAsia="en-US"/>
        </w:rPr>
        <w:t xml:space="preserve"> </w:t>
      </w:r>
      <w:r w:rsidR="00D706A6" w:rsidRPr="00054E79">
        <w:rPr>
          <w:rFonts w:ascii="Palatino Linotype" w:eastAsia="Calibri" w:hAnsi="Palatino Linotype" w:cs="Tahoma"/>
          <w:bCs/>
          <w:sz w:val="22"/>
          <w:szCs w:val="22"/>
          <w:lang w:val="es-ES_tradnl" w:eastAsia="en-US"/>
        </w:rPr>
        <w:t>el ofició</w:t>
      </w:r>
      <w:r w:rsidR="007D2976">
        <w:rPr>
          <w:rFonts w:ascii="Palatino Linotype" w:eastAsia="Calibri" w:hAnsi="Palatino Linotype" w:cs="Tahoma"/>
          <w:bCs/>
          <w:sz w:val="22"/>
          <w:szCs w:val="22"/>
          <w:lang w:val="es-ES_tradnl" w:eastAsia="en-US"/>
        </w:rPr>
        <w:t xml:space="preserve"> número </w:t>
      </w:r>
      <w:r w:rsidR="007D2976" w:rsidRPr="007D2976">
        <w:rPr>
          <w:rFonts w:ascii="Palatino Linotype" w:eastAsia="Calibri" w:hAnsi="Palatino Linotype" w:cs="Tahoma"/>
          <w:b/>
          <w:bCs/>
          <w:sz w:val="22"/>
          <w:szCs w:val="22"/>
          <w:lang w:val="es-ES_tradnl" w:eastAsia="en-US"/>
        </w:rPr>
        <w:t>DGDM-DOP-DESOC/2115/2018</w:t>
      </w:r>
      <w:r w:rsidR="00D706A6" w:rsidRPr="00054E79">
        <w:rPr>
          <w:rFonts w:ascii="Palatino Linotype" w:eastAsia="Calibri" w:hAnsi="Palatino Linotype" w:cs="Tahoma"/>
          <w:bCs/>
          <w:sz w:val="22"/>
          <w:szCs w:val="22"/>
          <w:lang w:val="es-ES_tradnl" w:eastAsia="en-US"/>
        </w:rPr>
        <w:t xml:space="preserve">, de </w:t>
      </w:r>
      <w:r w:rsidR="000879FC" w:rsidRPr="00054E79">
        <w:rPr>
          <w:rFonts w:ascii="Palatino Linotype" w:eastAsia="Calibri" w:hAnsi="Palatino Linotype" w:cs="Tahoma"/>
          <w:bCs/>
          <w:sz w:val="22"/>
          <w:szCs w:val="22"/>
          <w:lang w:val="es-ES_tradnl" w:eastAsia="en-US"/>
        </w:rPr>
        <w:t xml:space="preserve">fecha </w:t>
      </w:r>
      <w:r w:rsidR="007D2976">
        <w:rPr>
          <w:rFonts w:ascii="Palatino Linotype" w:eastAsia="Calibri" w:hAnsi="Palatino Linotype" w:cs="Tahoma"/>
          <w:bCs/>
          <w:sz w:val="22"/>
          <w:szCs w:val="22"/>
          <w:lang w:val="es-ES_tradnl" w:eastAsia="en-US"/>
        </w:rPr>
        <w:t xml:space="preserve">dieciséis </w:t>
      </w:r>
      <w:r w:rsidR="000879FC" w:rsidRPr="00054E79">
        <w:rPr>
          <w:rFonts w:ascii="Palatino Linotype" w:eastAsia="Calibri" w:hAnsi="Palatino Linotype" w:cs="Tahoma"/>
          <w:bCs/>
          <w:sz w:val="22"/>
          <w:szCs w:val="22"/>
          <w:lang w:val="es-ES_tradnl" w:eastAsia="en-US"/>
        </w:rPr>
        <w:t>de octubre de dos mil dieciocho</w:t>
      </w:r>
      <w:r w:rsidR="00D706A6" w:rsidRPr="00054E79">
        <w:rPr>
          <w:rFonts w:ascii="Palatino Linotype" w:eastAsia="Calibri" w:hAnsi="Palatino Linotype" w:cs="Tahoma"/>
          <w:bCs/>
          <w:sz w:val="22"/>
          <w:szCs w:val="22"/>
          <w:lang w:val="es-ES_tradnl" w:eastAsia="en-US"/>
        </w:rPr>
        <w:t xml:space="preserve">, dirigido </w:t>
      </w:r>
      <w:r w:rsidR="007D2976">
        <w:rPr>
          <w:rFonts w:ascii="Palatino Linotype" w:eastAsia="Calibri" w:hAnsi="Palatino Linotype" w:cs="Tahoma"/>
          <w:bCs/>
          <w:sz w:val="22"/>
          <w:szCs w:val="22"/>
          <w:lang w:val="es-ES_tradnl" w:eastAsia="en-US"/>
        </w:rPr>
        <w:t xml:space="preserve">a </w:t>
      </w:r>
      <w:r w:rsidR="004007AA">
        <w:rPr>
          <w:rFonts w:ascii="Palatino Linotype" w:eastAsia="Calibri" w:hAnsi="Palatino Linotype" w:cs="Tahoma"/>
          <w:bCs/>
          <w:sz w:val="22"/>
          <w:szCs w:val="22"/>
          <w:lang w:val="es-ES_tradnl" w:eastAsia="en-US"/>
        </w:rPr>
        <w:t>la</w:t>
      </w:r>
      <w:r w:rsidR="00D706A6" w:rsidRPr="00054E79">
        <w:rPr>
          <w:rFonts w:ascii="Palatino Linotype" w:eastAsia="Calibri" w:hAnsi="Palatino Linotype" w:cs="Tahoma"/>
          <w:bCs/>
          <w:sz w:val="22"/>
          <w:szCs w:val="22"/>
          <w:lang w:val="es-ES_tradnl" w:eastAsia="en-US"/>
        </w:rPr>
        <w:t xml:space="preserve"> Titular de la Unidad de Transparencia </w:t>
      </w:r>
      <w:r w:rsidR="007D2976">
        <w:rPr>
          <w:rFonts w:ascii="Palatino Linotype" w:eastAsia="Calibri" w:hAnsi="Palatino Linotype" w:cs="Tahoma"/>
          <w:bCs/>
          <w:sz w:val="22"/>
          <w:szCs w:val="22"/>
          <w:lang w:val="es-ES_tradnl" w:eastAsia="en-US"/>
        </w:rPr>
        <w:t>y signado por el Director de Obras Públicas, ambos adscritos al Ayuntamiento de Cuautitlán Izcalli</w:t>
      </w:r>
      <w:r w:rsidR="00D706A6" w:rsidRPr="00054E79">
        <w:rPr>
          <w:rFonts w:ascii="Palatino Linotype" w:eastAsia="Calibri" w:hAnsi="Palatino Linotype" w:cs="Tahoma"/>
          <w:bCs/>
          <w:sz w:val="22"/>
          <w:szCs w:val="22"/>
          <w:lang w:val="es-ES_tradnl" w:eastAsia="en-US"/>
        </w:rPr>
        <w:t xml:space="preserve">, por medio del cual </w:t>
      </w:r>
      <w:r w:rsidR="007D2976">
        <w:rPr>
          <w:rFonts w:ascii="Palatino Linotype" w:eastAsia="Calibri" w:hAnsi="Palatino Linotype" w:cs="Tahoma"/>
          <w:bCs/>
          <w:sz w:val="22"/>
          <w:szCs w:val="22"/>
          <w:lang w:val="es-ES_tradnl" w:eastAsia="en-US"/>
        </w:rPr>
        <w:t xml:space="preserve">se </w:t>
      </w:r>
      <w:r w:rsidR="000879FC" w:rsidRPr="00054E79">
        <w:rPr>
          <w:rFonts w:ascii="Palatino Linotype" w:eastAsia="Calibri" w:hAnsi="Palatino Linotype" w:cs="Tahoma"/>
          <w:bCs/>
          <w:sz w:val="22"/>
          <w:szCs w:val="22"/>
          <w:lang w:val="es-ES_tradnl" w:eastAsia="en-US"/>
        </w:rPr>
        <w:t>manifestaron</w:t>
      </w:r>
      <w:r w:rsidR="00D706A6" w:rsidRPr="00054E79">
        <w:rPr>
          <w:rFonts w:ascii="Palatino Linotype" w:eastAsia="Calibri" w:hAnsi="Palatino Linotype" w:cs="Tahoma"/>
          <w:bCs/>
          <w:sz w:val="22"/>
          <w:szCs w:val="22"/>
          <w:lang w:val="es-ES_tradnl" w:eastAsia="en-US"/>
        </w:rPr>
        <w:t xml:space="preserve"> los alegatos siguientes:</w:t>
      </w:r>
    </w:p>
    <w:p w:rsidR="00D706A6" w:rsidRPr="00054E79" w:rsidRDefault="00D706A6" w:rsidP="00D9652C">
      <w:pPr>
        <w:spacing w:line="360" w:lineRule="auto"/>
        <w:jc w:val="both"/>
        <w:rPr>
          <w:rFonts w:ascii="Palatino Linotype" w:eastAsia="Calibri" w:hAnsi="Palatino Linotype" w:cs="Tahoma"/>
          <w:bCs/>
          <w:sz w:val="22"/>
          <w:szCs w:val="22"/>
          <w:lang w:val="es-ES_tradnl" w:eastAsia="en-US"/>
        </w:rPr>
      </w:pPr>
    </w:p>
    <w:p w:rsidR="00710E2F" w:rsidRPr="00054E79" w:rsidRDefault="00710E2F" w:rsidP="007D2976">
      <w:pPr>
        <w:spacing w:line="360" w:lineRule="auto"/>
        <w:ind w:left="567" w:right="567"/>
        <w:jc w:val="both"/>
        <w:rPr>
          <w:rFonts w:ascii="Palatino Linotype" w:eastAsia="Calibri" w:hAnsi="Palatino Linotype" w:cs="Tahoma"/>
          <w:bCs/>
          <w:iCs/>
          <w:lang w:eastAsia="en-US"/>
        </w:rPr>
      </w:pPr>
      <w:r w:rsidRPr="00054E79">
        <w:rPr>
          <w:rFonts w:ascii="Palatino Linotype" w:eastAsia="Calibri" w:hAnsi="Palatino Linotype" w:cs="Tahoma"/>
          <w:bCs/>
          <w:iCs/>
          <w:lang w:eastAsia="en-US"/>
        </w:rPr>
        <w:t>[…]</w:t>
      </w:r>
    </w:p>
    <w:p w:rsidR="00710E2F" w:rsidRDefault="00710E2F" w:rsidP="007D2976">
      <w:pPr>
        <w:spacing w:line="360" w:lineRule="auto"/>
        <w:ind w:left="567" w:right="567"/>
        <w:jc w:val="both"/>
        <w:rPr>
          <w:rFonts w:ascii="Palatino Linotype" w:eastAsia="Calibri" w:hAnsi="Palatino Linotype" w:cs="Tahoma"/>
          <w:bCs/>
          <w:iCs/>
          <w:lang w:eastAsia="en-US"/>
        </w:rPr>
      </w:pPr>
    </w:p>
    <w:p w:rsidR="007D2976" w:rsidRDefault="007D2976" w:rsidP="007D2976">
      <w:pPr>
        <w:spacing w:line="360" w:lineRule="auto"/>
        <w:ind w:left="567" w:right="567"/>
        <w:jc w:val="both"/>
        <w:rPr>
          <w:rFonts w:ascii="Palatino Linotype" w:eastAsia="Calibri" w:hAnsi="Palatino Linotype" w:cs="Tahoma"/>
          <w:bCs/>
          <w:iCs/>
          <w:lang w:eastAsia="en-US"/>
        </w:rPr>
      </w:pPr>
      <w:r w:rsidRPr="007D2976">
        <w:rPr>
          <w:rFonts w:ascii="Palatino Linotype" w:eastAsia="Calibri" w:hAnsi="Palatino Linotype" w:cs="Tahoma"/>
          <w:bCs/>
          <w:iCs/>
          <w:lang w:eastAsia="en-US"/>
        </w:rPr>
        <w:t>La Dirección de Obras Públicas, dio respuesta a la solicitud de información con fundamento en lo</w:t>
      </w:r>
      <w:r>
        <w:rPr>
          <w:rFonts w:ascii="Palatino Linotype" w:eastAsia="Calibri" w:hAnsi="Palatino Linotype" w:cs="Tahoma"/>
          <w:bCs/>
          <w:iCs/>
          <w:lang w:eastAsia="en-US"/>
        </w:rPr>
        <w:t xml:space="preserve"> </w:t>
      </w:r>
      <w:r w:rsidRPr="007D2976">
        <w:rPr>
          <w:rFonts w:ascii="Palatino Linotype" w:eastAsia="Calibri" w:hAnsi="Palatino Linotype" w:cs="Tahoma"/>
          <w:bCs/>
          <w:iCs/>
          <w:lang w:eastAsia="en-US"/>
        </w:rPr>
        <w:t>dispuesto por el artículo12 segundo párrafo de la Ley de Transparencia y Acceso a la Información</w:t>
      </w:r>
      <w:r>
        <w:rPr>
          <w:rFonts w:ascii="Palatino Linotype" w:eastAsia="Calibri" w:hAnsi="Palatino Linotype" w:cs="Tahoma"/>
          <w:bCs/>
          <w:iCs/>
          <w:lang w:eastAsia="en-US"/>
        </w:rPr>
        <w:t xml:space="preserve"> </w:t>
      </w:r>
      <w:r w:rsidRPr="007D2976">
        <w:rPr>
          <w:rFonts w:ascii="Palatino Linotype" w:eastAsia="Calibri" w:hAnsi="Palatino Linotype" w:cs="Tahoma"/>
          <w:bCs/>
          <w:iCs/>
          <w:lang w:eastAsia="en-US"/>
        </w:rPr>
        <w:t>Pública del Estado de México y Municipios; mismo que refiere:</w:t>
      </w:r>
    </w:p>
    <w:p w:rsidR="007D2976" w:rsidRDefault="007D2976" w:rsidP="007D2976">
      <w:pPr>
        <w:spacing w:line="360" w:lineRule="auto"/>
        <w:ind w:left="567" w:right="567"/>
        <w:jc w:val="both"/>
        <w:rPr>
          <w:rFonts w:ascii="Palatino Linotype" w:eastAsia="Calibri" w:hAnsi="Palatino Linotype" w:cs="Tahoma"/>
          <w:bCs/>
          <w:iCs/>
          <w:lang w:eastAsia="en-US"/>
        </w:rPr>
      </w:pPr>
    </w:p>
    <w:p w:rsidR="007D2976" w:rsidRDefault="007D2976" w:rsidP="007D2976">
      <w:pPr>
        <w:spacing w:line="360" w:lineRule="auto"/>
        <w:ind w:left="567" w:right="567"/>
        <w:jc w:val="center"/>
        <w:rPr>
          <w:rFonts w:ascii="Palatino Linotype" w:eastAsia="Calibri" w:hAnsi="Palatino Linotype" w:cs="Tahoma"/>
          <w:bCs/>
          <w:iCs/>
          <w:lang w:eastAsia="en-US"/>
        </w:rPr>
      </w:pPr>
      <w:r>
        <w:rPr>
          <w:rFonts w:ascii="Palatino Linotype" w:eastAsia="Calibri" w:hAnsi="Palatino Linotype" w:cs="Tahoma"/>
          <w:bCs/>
          <w:iCs/>
          <w:lang w:eastAsia="en-US"/>
        </w:rPr>
        <w:t>[Téngase por reproducido el artículo 12 de la Ley de Transparencia y Acceso a la Información Pública del Estado de México y Municipios]</w:t>
      </w:r>
    </w:p>
    <w:p w:rsidR="007D2976" w:rsidRDefault="007D2976" w:rsidP="007D2976">
      <w:pPr>
        <w:spacing w:line="360" w:lineRule="auto"/>
        <w:ind w:left="567" w:right="567"/>
        <w:jc w:val="both"/>
        <w:rPr>
          <w:rFonts w:ascii="Palatino Linotype" w:eastAsia="Calibri" w:hAnsi="Palatino Linotype" w:cs="Tahoma"/>
          <w:bCs/>
          <w:iCs/>
          <w:lang w:eastAsia="en-US"/>
        </w:rPr>
      </w:pPr>
    </w:p>
    <w:p w:rsidR="007D2976" w:rsidRPr="00534263" w:rsidRDefault="007D2976" w:rsidP="007D2976">
      <w:pPr>
        <w:spacing w:line="360" w:lineRule="auto"/>
        <w:ind w:left="567" w:right="567"/>
        <w:jc w:val="both"/>
        <w:rPr>
          <w:rFonts w:ascii="Palatino Linotype" w:eastAsia="Calibri" w:hAnsi="Palatino Linotype" w:cs="Tahoma"/>
          <w:bCs/>
          <w:iCs/>
          <w:lang w:eastAsia="en-US"/>
        </w:rPr>
      </w:pPr>
      <w:r w:rsidRPr="007D2976">
        <w:rPr>
          <w:rFonts w:ascii="Palatino Linotype" w:eastAsia="Calibri" w:hAnsi="Palatino Linotype" w:cs="Tahoma"/>
          <w:bCs/>
          <w:iCs/>
          <w:lang w:eastAsia="en-US"/>
        </w:rPr>
        <w:t>Tal y como lo establece este precepto legal; en el caso concreto se debe considerar que la obligación</w:t>
      </w:r>
      <w:r>
        <w:rPr>
          <w:rFonts w:ascii="Palatino Linotype" w:eastAsia="Calibri" w:hAnsi="Palatino Linotype" w:cs="Tahoma"/>
          <w:bCs/>
          <w:iCs/>
          <w:lang w:eastAsia="en-US"/>
        </w:rPr>
        <w:t xml:space="preserve"> </w:t>
      </w:r>
      <w:r w:rsidRPr="007D2976">
        <w:rPr>
          <w:rFonts w:ascii="Palatino Linotype" w:eastAsia="Calibri" w:hAnsi="Palatino Linotype" w:cs="Tahoma"/>
          <w:bCs/>
          <w:iCs/>
          <w:lang w:eastAsia="en-US"/>
        </w:rPr>
        <w:t>de acceso a la Información pública, no comprende el procesa</w:t>
      </w:r>
      <w:r>
        <w:rPr>
          <w:rFonts w:ascii="Palatino Linotype" w:eastAsia="Calibri" w:hAnsi="Palatino Linotype" w:cs="Tahoma"/>
          <w:bCs/>
          <w:iCs/>
          <w:lang w:eastAsia="en-US"/>
        </w:rPr>
        <w:t>miento de la misma, y no obliga</w:t>
      </w:r>
      <w:r w:rsidRPr="007D2976">
        <w:rPr>
          <w:rFonts w:ascii="Palatino Linotype" w:eastAsia="Calibri" w:hAnsi="Palatino Linotype" w:cs="Tahoma"/>
          <w:bCs/>
          <w:iCs/>
          <w:lang w:eastAsia="en-US"/>
        </w:rPr>
        <w:t xml:space="preserve"> a</w:t>
      </w:r>
      <w:r>
        <w:rPr>
          <w:rFonts w:ascii="Palatino Linotype" w:eastAsia="Calibri" w:hAnsi="Palatino Linotype" w:cs="Tahoma"/>
          <w:bCs/>
          <w:iCs/>
          <w:lang w:eastAsia="en-US"/>
        </w:rPr>
        <w:t xml:space="preserve"> </w:t>
      </w:r>
      <w:r w:rsidRPr="007D2976">
        <w:rPr>
          <w:rFonts w:ascii="Palatino Linotype" w:eastAsia="Calibri" w:hAnsi="Palatino Linotype" w:cs="Tahoma"/>
          <w:bCs/>
          <w:iCs/>
          <w:lang w:eastAsia="en-US"/>
        </w:rPr>
        <w:t>presentarla conforme al interés del solicitante; ya que su correcta interpretación, da lugar a esta</w:t>
      </w:r>
      <w:r>
        <w:rPr>
          <w:rFonts w:ascii="Palatino Linotype" w:eastAsia="Calibri" w:hAnsi="Palatino Linotype" w:cs="Tahoma"/>
          <w:bCs/>
          <w:iCs/>
          <w:lang w:eastAsia="en-US"/>
        </w:rPr>
        <w:t xml:space="preserve"> </w:t>
      </w:r>
      <w:r w:rsidRPr="007D2976">
        <w:rPr>
          <w:rFonts w:ascii="Palatino Linotype" w:eastAsia="Calibri" w:hAnsi="Palatino Linotype" w:cs="Tahoma"/>
          <w:bCs/>
          <w:iCs/>
          <w:lang w:eastAsia="en-US"/>
        </w:rPr>
        <w:t xml:space="preserve">instancia, a no generar ni entregar información específica como textualmente es: </w:t>
      </w:r>
      <w:r w:rsidRPr="007D2976">
        <w:rPr>
          <w:rFonts w:ascii="Palatino Linotype" w:eastAsia="Calibri" w:hAnsi="Palatino Linotype" w:cs="Tahoma"/>
          <w:bCs/>
          <w:i/>
          <w:iCs/>
          <w:lang w:eastAsia="en-US"/>
        </w:rPr>
        <w:t>la cantidad de</w:t>
      </w:r>
      <w:r>
        <w:rPr>
          <w:rFonts w:ascii="Palatino Linotype" w:eastAsia="Calibri" w:hAnsi="Palatino Linotype" w:cs="Tahoma"/>
          <w:bCs/>
          <w:i/>
          <w:iCs/>
          <w:lang w:eastAsia="en-US"/>
        </w:rPr>
        <w:t xml:space="preserve"> </w:t>
      </w:r>
      <w:r w:rsidRPr="007D2976">
        <w:rPr>
          <w:rFonts w:ascii="Palatino Linotype" w:eastAsia="Calibri" w:hAnsi="Palatino Linotype" w:cs="Tahoma"/>
          <w:bCs/>
          <w:i/>
          <w:iCs/>
          <w:lang w:eastAsia="en-US"/>
        </w:rPr>
        <w:t xml:space="preserve">recursos que se han destinado </w:t>
      </w:r>
      <w:r w:rsidRPr="007D2976">
        <w:rPr>
          <w:rFonts w:ascii="Palatino Linotype" w:eastAsia="Calibri" w:hAnsi="Palatino Linotype" w:cs="Tahoma"/>
          <w:bCs/>
          <w:iCs/>
          <w:lang w:eastAsia="en-US"/>
        </w:rPr>
        <w:t xml:space="preserve">a </w:t>
      </w:r>
      <w:r w:rsidRPr="007D2976">
        <w:rPr>
          <w:rFonts w:ascii="Palatino Linotype" w:eastAsia="Calibri" w:hAnsi="Palatino Linotype" w:cs="Tahoma"/>
          <w:bCs/>
          <w:i/>
          <w:iCs/>
          <w:lang w:eastAsia="en-US"/>
        </w:rPr>
        <w:t xml:space="preserve">la reparación y </w:t>
      </w:r>
      <w:r w:rsidRPr="00534263">
        <w:rPr>
          <w:rFonts w:ascii="Palatino Linotype" w:eastAsia="Calibri" w:hAnsi="Palatino Linotype" w:cs="Tahoma"/>
          <w:bCs/>
          <w:i/>
          <w:iCs/>
          <w:lang w:eastAsia="en-US"/>
        </w:rPr>
        <w:t>repavimentación de la Av. Paseos del Alba, Av. De los Fresnos y Dr. Jorge Jiménez Cantú en el año presente.</w:t>
      </w:r>
    </w:p>
    <w:p w:rsidR="007D2976" w:rsidRPr="00534263" w:rsidRDefault="007D2976" w:rsidP="007D2976">
      <w:pPr>
        <w:spacing w:line="360" w:lineRule="auto"/>
        <w:ind w:left="567" w:right="567"/>
        <w:jc w:val="both"/>
        <w:rPr>
          <w:rFonts w:ascii="Palatino Linotype" w:eastAsia="Calibri" w:hAnsi="Palatino Linotype" w:cs="Tahoma"/>
          <w:bCs/>
          <w:iCs/>
          <w:lang w:eastAsia="en-US"/>
        </w:rPr>
      </w:pPr>
    </w:p>
    <w:p w:rsidR="007D2976" w:rsidRDefault="007D2976" w:rsidP="007D2976">
      <w:pPr>
        <w:spacing w:line="360" w:lineRule="auto"/>
        <w:ind w:left="567" w:right="567"/>
        <w:jc w:val="both"/>
        <w:rPr>
          <w:rFonts w:ascii="Palatino Linotype" w:eastAsia="Calibri" w:hAnsi="Palatino Linotype" w:cs="Tahoma"/>
          <w:bCs/>
          <w:iCs/>
          <w:lang w:eastAsia="en-US"/>
        </w:rPr>
      </w:pPr>
      <w:r w:rsidRPr="00E10FB5">
        <w:rPr>
          <w:rFonts w:ascii="Palatino Linotype" w:eastAsia="Calibri" w:hAnsi="Palatino Linotype" w:cs="Tahoma"/>
          <w:bCs/>
          <w:iCs/>
          <w:lang w:eastAsia="en-US"/>
        </w:rPr>
        <w:t>Esta causal se actualiza en virtud de que la Dirección de Obras Públicas, no concentra la información de la manera que concretamente se desea, ya que el interés del particular propiciaría que esta dependencia generara informes concisos en materia financiera, por lo tanto, al no ser estudio de su competencia, pudiera derivar en entregar un dato incierto. Además que esta situación contravendría con los principios en materia de transparencia y acceso a la información pública señalados en el artículo 11 de la Ley de Transparencia y Acceso a la Información Pública del Estado de México y Municipios, que dispone:</w:t>
      </w:r>
    </w:p>
    <w:p w:rsidR="007D2976" w:rsidRDefault="007D2976" w:rsidP="007D2976">
      <w:pPr>
        <w:spacing w:line="360" w:lineRule="auto"/>
        <w:ind w:left="567" w:right="567"/>
        <w:jc w:val="both"/>
        <w:rPr>
          <w:rFonts w:ascii="Palatino Linotype" w:eastAsia="Calibri" w:hAnsi="Palatino Linotype" w:cs="Tahoma"/>
          <w:bCs/>
          <w:iCs/>
          <w:lang w:eastAsia="en-US"/>
        </w:rPr>
      </w:pPr>
    </w:p>
    <w:p w:rsidR="007D2976" w:rsidRDefault="007D2976" w:rsidP="007D2976">
      <w:pPr>
        <w:spacing w:line="360" w:lineRule="auto"/>
        <w:ind w:left="567" w:right="567"/>
        <w:jc w:val="center"/>
        <w:rPr>
          <w:rFonts w:ascii="Palatino Linotype" w:eastAsia="Calibri" w:hAnsi="Palatino Linotype" w:cs="Tahoma"/>
          <w:bCs/>
          <w:iCs/>
          <w:lang w:eastAsia="en-US"/>
        </w:rPr>
      </w:pPr>
      <w:r>
        <w:rPr>
          <w:rFonts w:ascii="Palatino Linotype" w:eastAsia="Calibri" w:hAnsi="Palatino Linotype" w:cs="Tahoma"/>
          <w:bCs/>
          <w:iCs/>
          <w:lang w:eastAsia="en-US"/>
        </w:rPr>
        <w:t>[Téngase por reproducido el artículo 11 de la Ley de Transparencia y Acceso a la Información Pública del Estado de México y Municipios]</w:t>
      </w:r>
    </w:p>
    <w:p w:rsidR="007D2976" w:rsidRDefault="007D2976" w:rsidP="007D2976">
      <w:pPr>
        <w:spacing w:line="360" w:lineRule="auto"/>
        <w:ind w:left="567" w:right="567"/>
        <w:jc w:val="both"/>
        <w:rPr>
          <w:rFonts w:ascii="Palatino Linotype" w:eastAsia="Calibri" w:hAnsi="Palatino Linotype" w:cs="Tahoma"/>
          <w:bCs/>
          <w:iCs/>
          <w:lang w:eastAsia="en-US"/>
        </w:rPr>
      </w:pPr>
    </w:p>
    <w:p w:rsidR="007D2976" w:rsidRPr="007D2976" w:rsidRDefault="007D2976" w:rsidP="007D2976">
      <w:pPr>
        <w:spacing w:line="360" w:lineRule="auto"/>
        <w:ind w:left="567" w:right="567"/>
        <w:jc w:val="both"/>
        <w:rPr>
          <w:rFonts w:ascii="Palatino Linotype" w:eastAsia="Calibri" w:hAnsi="Palatino Linotype" w:cs="Tahoma"/>
          <w:bCs/>
          <w:iCs/>
          <w:lang w:eastAsia="en-US"/>
        </w:rPr>
      </w:pPr>
      <w:r w:rsidRPr="00E10FB5">
        <w:rPr>
          <w:rFonts w:ascii="Palatino Linotype" w:eastAsia="Calibri" w:hAnsi="Palatino Linotype" w:cs="Tahoma"/>
          <w:bCs/>
          <w:iCs/>
          <w:lang w:eastAsia="en-US"/>
        </w:rPr>
        <w:t>En tal sentido, al no existir la obligación de generar un documento específico, se desprende que la respuesta otorgada por la Dirección de Obras Públicas fue la adecuada.</w:t>
      </w:r>
    </w:p>
    <w:p w:rsidR="007D2976" w:rsidRDefault="007D2976" w:rsidP="007D2976">
      <w:pPr>
        <w:spacing w:line="360" w:lineRule="auto"/>
        <w:ind w:left="567" w:right="567"/>
        <w:jc w:val="both"/>
        <w:rPr>
          <w:rFonts w:ascii="Palatino Linotype" w:eastAsia="Calibri" w:hAnsi="Palatino Linotype" w:cs="Tahoma"/>
          <w:bCs/>
          <w:iCs/>
          <w:lang w:eastAsia="en-US"/>
        </w:rPr>
      </w:pPr>
    </w:p>
    <w:p w:rsidR="007D2976" w:rsidRDefault="007D2976" w:rsidP="007D2976">
      <w:pPr>
        <w:spacing w:line="360" w:lineRule="auto"/>
        <w:ind w:left="567" w:right="567"/>
        <w:jc w:val="both"/>
        <w:rPr>
          <w:rFonts w:ascii="Palatino Linotype" w:eastAsia="Calibri" w:hAnsi="Palatino Linotype" w:cs="Tahoma"/>
          <w:bCs/>
          <w:iCs/>
          <w:lang w:eastAsia="en-US"/>
        </w:rPr>
      </w:pPr>
      <w:r w:rsidRPr="007D2976">
        <w:rPr>
          <w:rFonts w:ascii="Palatino Linotype" w:eastAsia="Calibri" w:hAnsi="Palatino Linotype" w:cs="Tahoma"/>
          <w:bCs/>
          <w:iCs/>
          <w:lang w:eastAsia="en-US"/>
        </w:rPr>
        <w:t>Por lo anteriormente expuesto y fundado, esta Dependencia en cumplimiento con los artículos antes</w:t>
      </w:r>
      <w:r>
        <w:rPr>
          <w:rFonts w:ascii="Palatino Linotype" w:eastAsia="Calibri" w:hAnsi="Palatino Linotype" w:cs="Tahoma"/>
          <w:bCs/>
          <w:iCs/>
          <w:lang w:eastAsia="en-US"/>
        </w:rPr>
        <w:t xml:space="preserve"> </w:t>
      </w:r>
      <w:r w:rsidRPr="007D2976">
        <w:rPr>
          <w:rFonts w:ascii="Palatino Linotype" w:eastAsia="Calibri" w:hAnsi="Palatino Linotype" w:cs="Tahoma"/>
          <w:bCs/>
          <w:iCs/>
          <w:lang w:eastAsia="en-US"/>
        </w:rPr>
        <w:t>mencionados, ratifica la respuesta proporcionada inicialmente, considerando los argumentos y</w:t>
      </w:r>
      <w:r>
        <w:rPr>
          <w:rFonts w:ascii="Palatino Linotype" w:eastAsia="Calibri" w:hAnsi="Palatino Linotype" w:cs="Tahoma"/>
          <w:bCs/>
          <w:iCs/>
          <w:lang w:eastAsia="en-US"/>
        </w:rPr>
        <w:t xml:space="preserve"> </w:t>
      </w:r>
      <w:r w:rsidRPr="007D2976">
        <w:rPr>
          <w:rFonts w:ascii="Palatino Linotype" w:eastAsia="Calibri" w:hAnsi="Palatino Linotype" w:cs="Tahoma"/>
          <w:bCs/>
          <w:iCs/>
          <w:lang w:eastAsia="en-US"/>
        </w:rPr>
        <w:t>razonamientos contenidos en el presente escrito.</w:t>
      </w:r>
    </w:p>
    <w:p w:rsidR="007D2976" w:rsidRDefault="007D2976" w:rsidP="007D2976">
      <w:pPr>
        <w:spacing w:line="360" w:lineRule="auto"/>
        <w:ind w:left="567" w:right="567"/>
        <w:jc w:val="both"/>
        <w:rPr>
          <w:rFonts w:ascii="Palatino Linotype" w:eastAsia="Calibri" w:hAnsi="Palatino Linotype" w:cs="Tahoma"/>
          <w:bCs/>
          <w:iCs/>
          <w:lang w:eastAsia="en-US"/>
        </w:rPr>
      </w:pPr>
    </w:p>
    <w:p w:rsidR="007D2976" w:rsidRDefault="007D2976" w:rsidP="007D2976">
      <w:pPr>
        <w:spacing w:line="360" w:lineRule="auto"/>
        <w:ind w:left="567" w:right="567"/>
        <w:jc w:val="both"/>
        <w:rPr>
          <w:rFonts w:ascii="Palatino Linotype" w:eastAsia="Calibri" w:hAnsi="Palatino Linotype" w:cs="Tahoma"/>
          <w:bCs/>
          <w:iCs/>
          <w:lang w:eastAsia="en-US"/>
        </w:rPr>
      </w:pPr>
      <w:r w:rsidRPr="007D2976">
        <w:rPr>
          <w:rFonts w:ascii="Palatino Linotype" w:eastAsia="Calibri" w:hAnsi="Palatino Linotype" w:cs="Tahoma"/>
          <w:b/>
          <w:bCs/>
          <w:iCs/>
          <w:lang w:eastAsia="en-US"/>
        </w:rPr>
        <w:t xml:space="preserve">UNICO. </w:t>
      </w:r>
      <w:r w:rsidRPr="007D2976">
        <w:rPr>
          <w:rFonts w:ascii="Palatino Linotype" w:eastAsia="Calibri" w:hAnsi="Palatino Linotype" w:cs="Tahoma"/>
          <w:bCs/>
          <w:iCs/>
          <w:lang w:eastAsia="en-US"/>
        </w:rPr>
        <w:t>Téngase por presentado en tiempo y forma el Informe Justificado.</w:t>
      </w:r>
    </w:p>
    <w:p w:rsidR="007D2976" w:rsidRDefault="007D2976" w:rsidP="007D2976">
      <w:pPr>
        <w:spacing w:line="360" w:lineRule="auto"/>
        <w:ind w:left="567" w:right="567"/>
        <w:jc w:val="both"/>
        <w:rPr>
          <w:rFonts w:ascii="Palatino Linotype" w:eastAsia="Calibri" w:hAnsi="Palatino Linotype" w:cs="Tahoma"/>
          <w:bCs/>
          <w:iCs/>
          <w:lang w:eastAsia="en-US"/>
        </w:rPr>
      </w:pPr>
    </w:p>
    <w:p w:rsidR="007D2976" w:rsidRDefault="007D2976" w:rsidP="007D297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rsidR="00C727D4" w:rsidRPr="00054E79" w:rsidRDefault="00C727D4" w:rsidP="00D9652C">
      <w:pPr>
        <w:spacing w:line="360" w:lineRule="auto"/>
        <w:jc w:val="both"/>
        <w:rPr>
          <w:rFonts w:ascii="Palatino Linotype" w:eastAsia="Calibri" w:hAnsi="Palatino Linotype" w:cs="Tahoma"/>
          <w:bCs/>
          <w:sz w:val="22"/>
          <w:szCs w:val="22"/>
          <w:lang w:val="es-ES" w:eastAsia="en-US"/>
        </w:rPr>
      </w:pPr>
    </w:p>
    <w:p w:rsidR="00C36BF2" w:rsidRPr="00054E79" w:rsidRDefault="00DC766B"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d</w:t>
      </w:r>
      <w:r w:rsidR="00285B21" w:rsidRPr="00054E79">
        <w:rPr>
          <w:rFonts w:ascii="Palatino Linotype" w:eastAsia="Calibri" w:hAnsi="Palatino Linotype" w:cs="Tahoma"/>
          <w:b/>
          <w:bCs/>
          <w:sz w:val="22"/>
          <w:szCs w:val="22"/>
          <w:lang w:val="es-ES" w:eastAsia="en-US"/>
        </w:rPr>
        <w:t xml:space="preserve">) Ampliación del plazo para resolver: </w:t>
      </w:r>
      <w:r w:rsidR="00285B21" w:rsidRPr="00054E79">
        <w:rPr>
          <w:rFonts w:ascii="Palatino Linotype" w:eastAsia="Calibri" w:hAnsi="Palatino Linotype" w:cs="Tahoma"/>
          <w:bCs/>
          <w:sz w:val="22"/>
          <w:szCs w:val="22"/>
          <w:lang w:val="es-ES" w:eastAsia="en-US"/>
        </w:rPr>
        <w:t xml:space="preserve">Con fecha </w:t>
      </w:r>
      <w:r>
        <w:rPr>
          <w:rFonts w:ascii="Palatino Linotype" w:eastAsia="Calibri" w:hAnsi="Palatino Linotype" w:cs="Tahoma"/>
          <w:bCs/>
          <w:sz w:val="22"/>
          <w:szCs w:val="22"/>
          <w:lang w:val="es-ES" w:eastAsia="en-US"/>
        </w:rPr>
        <w:t>veintidós de noviembre</w:t>
      </w:r>
      <w:r w:rsidR="00285B21" w:rsidRPr="00054E79">
        <w:rPr>
          <w:rFonts w:ascii="Palatino Linotype" w:eastAsia="Calibri" w:hAnsi="Palatino Linotype" w:cs="Tahoma"/>
          <w:bCs/>
          <w:sz w:val="22"/>
          <w:szCs w:val="22"/>
          <w:lang w:val="es-ES" w:eastAsia="en-US"/>
        </w:rPr>
        <w:t xml:space="preserve"> de dos mil dieciocho, el Comisionado Ponente, con fundamento en lo dispuesto por el artículo 181, párrafo tercero, de la Ley de Transparencia y Acceso a la Información Pública del Estado de México y Municipios, </w:t>
      </w:r>
      <w:r w:rsidR="00285B21" w:rsidRPr="00054E79">
        <w:rPr>
          <w:rFonts w:ascii="Palatino Linotype" w:eastAsia="Calibri" w:hAnsi="Palatino Linotype" w:cs="Tahoma"/>
          <w:b/>
          <w:bCs/>
          <w:sz w:val="22"/>
          <w:szCs w:val="22"/>
          <w:lang w:val="es-ES" w:eastAsia="en-US"/>
        </w:rPr>
        <w:t>acordó ampliar</w:t>
      </w:r>
      <w:r w:rsidR="00285B21" w:rsidRPr="00054E79">
        <w:rPr>
          <w:rFonts w:ascii="Palatino Linotype" w:eastAsia="Calibri" w:hAnsi="Palatino Linotype" w:cs="Tahoma"/>
          <w:bCs/>
          <w:sz w:val="22"/>
          <w:szCs w:val="22"/>
          <w:lang w:val="es-ES" w:eastAsia="en-US"/>
        </w:rPr>
        <w:t xml:space="preserve"> por un periodo de quince días hábiles, el plazo para resolver el recurso de revisión que nos ocupa; acto </w:t>
      </w:r>
      <w:r w:rsidR="005838B6" w:rsidRPr="00054E79">
        <w:rPr>
          <w:rFonts w:ascii="Palatino Linotype" w:eastAsia="Calibri" w:hAnsi="Palatino Linotype" w:cs="Tahoma"/>
          <w:bCs/>
          <w:sz w:val="22"/>
          <w:szCs w:val="22"/>
          <w:lang w:val="es-ES" w:eastAsia="en-US"/>
        </w:rPr>
        <w:t>que fue notificado a las partes</w:t>
      </w:r>
      <w:r w:rsidR="00285B21" w:rsidRPr="00054E79">
        <w:rPr>
          <w:rFonts w:ascii="Palatino Linotype" w:eastAsia="Calibri" w:hAnsi="Palatino Linotype" w:cs="Tahoma"/>
          <w:bCs/>
          <w:sz w:val="22"/>
          <w:szCs w:val="22"/>
          <w:lang w:val="es-ES" w:eastAsia="en-US"/>
        </w:rPr>
        <w:t xml:space="preserve"> mediante el Sistema de Acceso a la Información Mexiquense, el </w:t>
      </w:r>
      <w:r>
        <w:rPr>
          <w:rFonts w:ascii="Palatino Linotype" w:eastAsia="Calibri" w:hAnsi="Palatino Linotype" w:cs="Tahoma"/>
          <w:bCs/>
          <w:sz w:val="22"/>
          <w:szCs w:val="22"/>
          <w:lang w:val="es-ES" w:eastAsia="en-US"/>
        </w:rPr>
        <w:t>veintitrés del mismo mes y año</w:t>
      </w:r>
      <w:r w:rsidR="00285B21" w:rsidRPr="00054E79">
        <w:rPr>
          <w:rFonts w:ascii="Palatino Linotype" w:eastAsia="Calibri" w:hAnsi="Palatino Linotype" w:cs="Tahoma"/>
          <w:bCs/>
          <w:sz w:val="22"/>
          <w:szCs w:val="22"/>
          <w:lang w:val="es-ES" w:eastAsia="en-US"/>
        </w:rPr>
        <w:t>.</w:t>
      </w:r>
    </w:p>
    <w:p w:rsidR="00C36BF2" w:rsidRDefault="00C36BF2" w:rsidP="00D9652C">
      <w:pPr>
        <w:spacing w:line="360" w:lineRule="auto"/>
        <w:jc w:val="both"/>
        <w:rPr>
          <w:rFonts w:ascii="Palatino Linotype" w:eastAsia="Calibri" w:hAnsi="Palatino Linotype" w:cs="Tahoma"/>
          <w:b/>
          <w:bCs/>
          <w:sz w:val="22"/>
          <w:szCs w:val="22"/>
          <w:lang w:val="es-ES" w:eastAsia="en-US"/>
        </w:rPr>
      </w:pPr>
    </w:p>
    <w:p w:rsidR="003D0834" w:rsidRPr="00054E79" w:rsidRDefault="00DC766B" w:rsidP="003D0834">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e</w:t>
      </w:r>
      <w:r w:rsidR="003D0834" w:rsidRPr="006E3C12">
        <w:rPr>
          <w:rFonts w:ascii="Palatino Linotype" w:eastAsia="Calibri" w:hAnsi="Palatino Linotype" w:cs="Tahoma"/>
          <w:b/>
          <w:bCs/>
          <w:sz w:val="22"/>
          <w:szCs w:val="22"/>
          <w:lang w:val="es-ES" w:eastAsia="en-US"/>
        </w:rPr>
        <w:t>) Cierre de instrucción:</w:t>
      </w:r>
      <w:r w:rsidR="003D0834" w:rsidRPr="006E3C12">
        <w:rPr>
          <w:rFonts w:ascii="Palatino Linotype" w:eastAsia="Calibri" w:hAnsi="Palatino Linotype" w:cs="Tahoma"/>
          <w:bCs/>
          <w:sz w:val="22"/>
          <w:szCs w:val="22"/>
          <w:lang w:val="es-ES" w:eastAsia="en-US"/>
        </w:rPr>
        <w:t xml:space="preserve"> Con fecha </w:t>
      </w:r>
      <w:r>
        <w:rPr>
          <w:rFonts w:ascii="Palatino Linotype" w:eastAsia="Calibri" w:hAnsi="Palatino Linotype" w:cs="Tahoma"/>
          <w:bCs/>
          <w:sz w:val="22"/>
          <w:szCs w:val="22"/>
          <w:lang w:val="es-ES" w:eastAsia="en-US"/>
        </w:rPr>
        <w:t>veintinueve</w:t>
      </w:r>
      <w:r w:rsidR="003D0834" w:rsidRPr="006E3C12">
        <w:rPr>
          <w:rFonts w:ascii="Palatino Linotype" w:eastAsia="Calibri" w:hAnsi="Palatino Linotype" w:cs="Tahoma"/>
          <w:bCs/>
          <w:sz w:val="22"/>
          <w:szCs w:val="22"/>
          <w:lang w:val="es-ES" w:eastAsia="en-US"/>
        </w:rPr>
        <w:t xml:space="preserve"> de noviembre de dos mil dieciocho, al no existir diligencias pendientes por desahogar, </w:t>
      </w:r>
      <w:r>
        <w:rPr>
          <w:rFonts w:ascii="Palatino Linotype" w:eastAsia="Calibri" w:hAnsi="Palatino Linotype" w:cs="Tahoma"/>
          <w:bCs/>
          <w:sz w:val="22"/>
          <w:szCs w:val="22"/>
          <w:lang w:val="es-ES" w:eastAsia="en-US"/>
        </w:rPr>
        <w:t xml:space="preserve">el Comisionado Ponente </w:t>
      </w:r>
      <w:r w:rsidRPr="00DC766B">
        <w:rPr>
          <w:rFonts w:ascii="Palatino Linotype" w:eastAsia="Calibri" w:hAnsi="Palatino Linotype" w:cs="Tahoma"/>
          <w:b/>
          <w:bCs/>
          <w:sz w:val="22"/>
          <w:szCs w:val="22"/>
          <w:lang w:val="es-ES" w:eastAsia="en-US"/>
        </w:rPr>
        <w:t>decretó el cierre</w:t>
      </w:r>
      <w:r w:rsidR="003D0834" w:rsidRPr="00DC766B">
        <w:rPr>
          <w:rFonts w:ascii="Palatino Linotype" w:eastAsia="Calibri" w:hAnsi="Palatino Linotype" w:cs="Tahoma"/>
          <w:b/>
          <w:bCs/>
          <w:sz w:val="22"/>
          <w:szCs w:val="22"/>
          <w:lang w:val="es-ES" w:eastAsia="en-US"/>
        </w:rPr>
        <w:t xml:space="preserve"> </w:t>
      </w:r>
      <w:r w:rsidRPr="00DC766B">
        <w:rPr>
          <w:rFonts w:ascii="Palatino Linotype" w:eastAsia="Calibri" w:hAnsi="Palatino Linotype" w:cs="Tahoma"/>
          <w:b/>
          <w:bCs/>
          <w:sz w:val="22"/>
          <w:szCs w:val="22"/>
          <w:lang w:val="es-ES" w:eastAsia="en-US"/>
        </w:rPr>
        <w:t>de</w:t>
      </w:r>
      <w:r w:rsidR="003D0834" w:rsidRPr="00DC766B">
        <w:rPr>
          <w:rFonts w:ascii="Palatino Linotype" w:eastAsia="Calibri" w:hAnsi="Palatino Linotype" w:cs="Tahoma"/>
          <w:b/>
          <w:bCs/>
          <w:sz w:val="22"/>
          <w:szCs w:val="22"/>
          <w:lang w:val="es-ES" w:eastAsia="en-US"/>
        </w:rPr>
        <w:t xml:space="preserve"> instrucción</w:t>
      </w:r>
      <w:r w:rsidR="00534263">
        <w:rPr>
          <w:rFonts w:ascii="Palatino Linotype" w:eastAsia="Calibri" w:hAnsi="Palatino Linotype" w:cs="Tahoma"/>
          <w:b/>
          <w:bCs/>
          <w:sz w:val="22"/>
          <w:szCs w:val="22"/>
          <w:lang w:val="es-ES" w:eastAsia="en-US"/>
        </w:rPr>
        <w:t xml:space="preserve"> </w:t>
      </w:r>
      <w:r w:rsidR="00534263" w:rsidRPr="00E10FB5">
        <w:rPr>
          <w:rFonts w:ascii="Palatino Linotype" w:eastAsia="Calibri" w:hAnsi="Palatino Linotype" w:cs="Tahoma"/>
          <w:bCs/>
          <w:sz w:val="22"/>
          <w:szCs w:val="22"/>
          <w:lang w:val="es-ES" w:eastAsia="en-US"/>
        </w:rPr>
        <w:t>y</w:t>
      </w:r>
      <w:r w:rsidR="003D0834" w:rsidRPr="006E3C12">
        <w:rPr>
          <w:rFonts w:ascii="Palatino Linotype" w:eastAsia="Calibri" w:hAnsi="Palatino Linotype" w:cs="Tahoma"/>
          <w:bCs/>
          <w:sz w:val="22"/>
          <w:szCs w:val="22"/>
          <w:lang w:val="es-ES" w:eastAsia="en-US"/>
        </w:rPr>
        <w:t>, el expediente</w:t>
      </w:r>
      <w:r w:rsidR="00534263">
        <w:rPr>
          <w:rFonts w:ascii="Palatino Linotype" w:eastAsia="Calibri" w:hAnsi="Palatino Linotype" w:cs="Tahoma"/>
          <w:bCs/>
          <w:sz w:val="22"/>
          <w:szCs w:val="22"/>
          <w:lang w:val="es-ES" w:eastAsia="en-US"/>
        </w:rPr>
        <w:t xml:space="preserve"> pasó</w:t>
      </w:r>
      <w:r w:rsidR="003D0834" w:rsidRPr="006E3C12">
        <w:rPr>
          <w:rFonts w:ascii="Palatino Linotype" w:eastAsia="Calibri" w:hAnsi="Palatino Linotype" w:cs="Tahoma"/>
          <w:bCs/>
          <w:sz w:val="22"/>
          <w:szCs w:val="22"/>
          <w:lang w:val="es-ES" w:eastAsia="en-US"/>
        </w:rPr>
        <w:t xml:space="preserve"> a resolución, en términos de lo dispuesto en los artículos 185, fracciones VI y VIII</w:t>
      </w:r>
      <w:r w:rsidR="00534263">
        <w:rPr>
          <w:rFonts w:ascii="Palatino Linotype" w:eastAsia="Calibri" w:hAnsi="Palatino Linotype" w:cs="Tahoma"/>
          <w:bCs/>
          <w:sz w:val="22"/>
          <w:szCs w:val="22"/>
          <w:lang w:val="es-ES" w:eastAsia="en-US"/>
        </w:rPr>
        <w:t>,</w:t>
      </w:r>
      <w:r w:rsidR="003D0834" w:rsidRPr="006E3C12">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el </w:t>
      </w:r>
      <w:r>
        <w:rPr>
          <w:rFonts w:ascii="Palatino Linotype" w:eastAsia="Calibri" w:hAnsi="Palatino Linotype" w:cs="Tahoma"/>
          <w:bCs/>
          <w:sz w:val="22"/>
          <w:szCs w:val="22"/>
          <w:lang w:val="es-ES" w:eastAsia="en-US"/>
        </w:rPr>
        <w:t>mismo día de su emisión</w:t>
      </w:r>
      <w:r w:rsidR="003D0834" w:rsidRPr="006E3C12">
        <w:rPr>
          <w:rFonts w:ascii="Palatino Linotype" w:eastAsia="Calibri" w:hAnsi="Palatino Linotype" w:cs="Tahoma"/>
          <w:bCs/>
          <w:sz w:val="22"/>
          <w:szCs w:val="22"/>
          <w:lang w:val="es-ES" w:eastAsia="en-US"/>
        </w:rPr>
        <w:t>, a través del Sistema de Acceso a la Información Mexiquense</w:t>
      </w:r>
      <w:r w:rsidR="00534263">
        <w:rPr>
          <w:rFonts w:ascii="Palatino Linotype" w:eastAsia="Calibri" w:hAnsi="Palatino Linotype" w:cs="Tahoma"/>
          <w:bCs/>
          <w:sz w:val="22"/>
          <w:szCs w:val="22"/>
          <w:lang w:val="es-ES" w:eastAsia="en-US"/>
        </w:rPr>
        <w:t xml:space="preserve"> (SAIMEX)</w:t>
      </w:r>
      <w:r w:rsidR="003D0834" w:rsidRPr="006E3C12">
        <w:rPr>
          <w:rFonts w:ascii="Palatino Linotype" w:eastAsia="Calibri" w:hAnsi="Palatino Linotype" w:cs="Tahoma"/>
          <w:bCs/>
          <w:sz w:val="22"/>
          <w:szCs w:val="22"/>
          <w:lang w:val="es-ES" w:eastAsia="en-US"/>
        </w:rPr>
        <w:t>.</w:t>
      </w:r>
    </w:p>
    <w:p w:rsidR="003D0834" w:rsidRDefault="003D0834" w:rsidP="00D9652C">
      <w:pPr>
        <w:spacing w:line="360" w:lineRule="auto"/>
        <w:jc w:val="both"/>
        <w:rPr>
          <w:rFonts w:ascii="Palatino Linotype" w:eastAsia="Calibri" w:hAnsi="Palatino Linotype" w:cs="Tahoma"/>
          <w:b/>
          <w:bCs/>
          <w:sz w:val="22"/>
          <w:szCs w:val="22"/>
          <w:lang w:val="es-ES" w:eastAsia="en-US"/>
        </w:rPr>
      </w:pPr>
    </w:p>
    <w:p w:rsidR="00806E45" w:rsidRPr="00054E79" w:rsidRDefault="00DA1AD1"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simplePos x="0" y="0"/>
                <wp:positionH relativeFrom="column">
                  <wp:posOffset>29844</wp:posOffset>
                </wp:positionH>
                <wp:positionV relativeFrom="paragraph">
                  <wp:posOffset>719455</wp:posOffset>
                </wp:positionV>
                <wp:extent cx="5705475" cy="1428750"/>
                <wp:effectExtent l="0" t="57150" r="0" b="19050"/>
                <wp:wrapNone/>
                <wp:docPr id="1" name="Conector recto de flecha 1"/>
                <wp:cNvGraphicFramePr/>
                <a:graphic xmlns:a="http://schemas.openxmlformats.org/drawingml/2006/main">
                  <a:graphicData uri="http://schemas.microsoft.com/office/word/2010/wordprocessingShape">
                    <wps:wsp>
                      <wps:cNvCnPr/>
                      <wps:spPr>
                        <a:xfrm flipV="1">
                          <a:off x="0" y="0"/>
                          <a:ext cx="5705475" cy="142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1B90A7" id="_x0000_t32" coordsize="21600,21600" o:spt="32" o:oned="t" path="m,l21600,21600e" filled="f">
                <v:path arrowok="t" fillok="f" o:connecttype="none"/>
                <o:lock v:ext="edit" shapetype="t"/>
              </v:shapetype>
              <v:shape id="Conector recto de flecha 1" o:spid="_x0000_s1026" type="#_x0000_t32" style="position:absolute;margin-left:2.35pt;margin-top:56.65pt;width:449.25pt;height:11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" strokecolor="#4472c4 [3204]" strokeweight=".5pt">
                <v:stroke endarrow="block" joinstyle="miter"/>
              </v:shape>
            </w:pict>
          </mc:Fallback>
        </mc:AlternateContent>
      </w:r>
      <w:r w:rsidR="00806E45" w:rsidRPr="00054E79">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054E79">
        <w:rPr>
          <w:rFonts w:ascii="Palatino Linotype" w:eastAsia="Calibri" w:hAnsi="Palatino Linotype" w:cs="Tahoma"/>
          <w:bCs/>
          <w:sz w:val="22"/>
          <w:szCs w:val="22"/>
          <w:lang w:val="es-ES" w:eastAsia="en-US"/>
        </w:rPr>
        <w:t>recho proceda, de acuerdo con lo</w:t>
      </w:r>
      <w:r w:rsidR="00806E45" w:rsidRPr="00054E79">
        <w:rPr>
          <w:rFonts w:ascii="Palatino Linotype" w:eastAsia="Calibri" w:hAnsi="Palatino Linotype" w:cs="Tahoma"/>
          <w:bCs/>
          <w:sz w:val="22"/>
          <w:szCs w:val="22"/>
          <w:lang w:val="es-ES" w:eastAsia="en-US"/>
        </w:rPr>
        <w:t xml:space="preserve">s siguientes: </w:t>
      </w:r>
    </w:p>
    <w:p w:rsidR="00806E45" w:rsidRDefault="00806E45" w:rsidP="00D9652C">
      <w:pPr>
        <w:spacing w:line="360" w:lineRule="auto"/>
        <w:jc w:val="both"/>
        <w:rPr>
          <w:rFonts w:ascii="Palatino Linotype" w:eastAsia="Calibri" w:hAnsi="Palatino Linotype" w:cs="Tahoma"/>
          <w:bCs/>
          <w:sz w:val="22"/>
          <w:szCs w:val="22"/>
          <w:lang w:val="es-ES" w:eastAsia="en-US"/>
        </w:rPr>
      </w:pPr>
    </w:p>
    <w:p w:rsidR="00DA1AD1" w:rsidRDefault="00DA1AD1" w:rsidP="00D9652C">
      <w:pPr>
        <w:spacing w:line="360" w:lineRule="auto"/>
        <w:jc w:val="both"/>
        <w:rPr>
          <w:rFonts w:ascii="Palatino Linotype" w:eastAsia="Calibri" w:hAnsi="Palatino Linotype" w:cs="Tahoma"/>
          <w:bCs/>
          <w:sz w:val="22"/>
          <w:szCs w:val="22"/>
          <w:lang w:val="es-ES" w:eastAsia="en-US"/>
        </w:rPr>
      </w:pPr>
    </w:p>
    <w:p w:rsidR="00DA1AD1" w:rsidRDefault="00DA1AD1" w:rsidP="00D9652C">
      <w:pPr>
        <w:spacing w:line="360" w:lineRule="auto"/>
        <w:jc w:val="both"/>
        <w:rPr>
          <w:rFonts w:ascii="Palatino Linotype" w:eastAsia="Calibri" w:hAnsi="Palatino Linotype" w:cs="Tahoma"/>
          <w:bCs/>
          <w:sz w:val="22"/>
          <w:szCs w:val="22"/>
          <w:lang w:val="es-ES" w:eastAsia="en-US"/>
        </w:rPr>
      </w:pPr>
    </w:p>
    <w:p w:rsidR="00DA1AD1" w:rsidRDefault="00DA1AD1" w:rsidP="00D9652C">
      <w:pPr>
        <w:spacing w:line="360" w:lineRule="auto"/>
        <w:jc w:val="both"/>
        <w:rPr>
          <w:rFonts w:ascii="Palatino Linotype" w:eastAsia="Calibri" w:hAnsi="Palatino Linotype" w:cs="Tahoma"/>
          <w:bCs/>
          <w:sz w:val="22"/>
          <w:szCs w:val="22"/>
          <w:lang w:val="es-ES" w:eastAsia="en-US"/>
        </w:rPr>
      </w:pPr>
    </w:p>
    <w:p w:rsidR="00DA1AD1" w:rsidRDefault="00DA1AD1" w:rsidP="00D9652C">
      <w:pPr>
        <w:spacing w:line="360" w:lineRule="auto"/>
        <w:jc w:val="both"/>
        <w:rPr>
          <w:rFonts w:ascii="Palatino Linotype" w:eastAsia="Calibri" w:hAnsi="Palatino Linotype" w:cs="Tahoma"/>
          <w:bCs/>
          <w:sz w:val="22"/>
          <w:szCs w:val="22"/>
          <w:lang w:val="es-ES" w:eastAsia="en-US"/>
        </w:rPr>
      </w:pPr>
    </w:p>
    <w:p w:rsidR="00DA1AD1" w:rsidRPr="00054E79" w:rsidRDefault="00DA1AD1" w:rsidP="00D9652C">
      <w:pPr>
        <w:spacing w:line="360" w:lineRule="auto"/>
        <w:jc w:val="both"/>
        <w:rPr>
          <w:rFonts w:ascii="Palatino Linotype" w:eastAsia="Calibri" w:hAnsi="Palatino Linotype" w:cs="Tahoma"/>
          <w:bCs/>
          <w:sz w:val="22"/>
          <w:szCs w:val="22"/>
          <w:lang w:val="es-ES" w:eastAsia="en-US"/>
        </w:rPr>
      </w:pPr>
    </w:p>
    <w:p w:rsidR="00806E45" w:rsidRPr="00054E79" w:rsidRDefault="00285B21" w:rsidP="00854E77">
      <w:pPr>
        <w:spacing w:line="360" w:lineRule="auto"/>
        <w:jc w:val="center"/>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CONSIDERANDOS</w:t>
      </w:r>
    </w:p>
    <w:p w:rsidR="00806E45" w:rsidRPr="00054E79" w:rsidRDefault="00285B21"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PRIMERO</w:t>
      </w:r>
      <w:r w:rsidR="00806E45" w:rsidRPr="00054E79">
        <w:rPr>
          <w:rFonts w:ascii="Palatino Linotype" w:eastAsia="Calibri" w:hAnsi="Palatino Linotype" w:cs="Tahoma"/>
          <w:b/>
          <w:bCs/>
          <w:sz w:val="22"/>
          <w:szCs w:val="22"/>
          <w:lang w:val="es-ES" w:eastAsia="en-US"/>
        </w:rPr>
        <w:t xml:space="preserve">. Competencia. </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apartado A</w:t>
      </w:r>
      <w:r w:rsidR="0076766A">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xml:space="preserve"> de la Constitución Política de los Estados Unidos Mexicanos; 5</w:t>
      </w:r>
      <w:r w:rsidR="00E477A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párrafos vigésimo, vigésimo primero y vigésimo segundo, fracciones I, II, III, IV y V</w:t>
      </w:r>
      <w:r w:rsidR="00E477A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xml:space="preserve"> de la Ley Transparencia y Acceso a la Información Pública del</w:t>
      </w:r>
      <w:r w:rsidR="00DC766B">
        <w:rPr>
          <w:rFonts w:ascii="Palatino Linotype" w:eastAsia="Calibri" w:hAnsi="Palatino Linotype" w:cs="Tahoma"/>
          <w:bCs/>
          <w:sz w:val="22"/>
          <w:szCs w:val="22"/>
          <w:lang w:val="es-ES" w:eastAsia="en-US"/>
        </w:rPr>
        <w:t xml:space="preserve"> Estado de México y Municipios; 7</w:t>
      </w:r>
      <w:r w:rsidRPr="00054E79">
        <w:rPr>
          <w:rFonts w:ascii="Palatino Linotype" w:eastAsia="Calibri" w:hAnsi="Palatino Linotype" w:cs="Tahoma"/>
          <w:bCs/>
          <w:sz w:val="22"/>
          <w:szCs w:val="22"/>
          <w:lang w:val="es-ES" w:eastAsia="en-US"/>
        </w:rPr>
        <w:t>, 9, fracciones I y XXIV y 11</w:t>
      </w:r>
      <w:r w:rsidR="00E477A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rsidR="00806E45" w:rsidRPr="00054E79"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SE</w:t>
      </w:r>
      <w:r w:rsidR="00285B21" w:rsidRPr="00054E79">
        <w:rPr>
          <w:rFonts w:ascii="Palatino Linotype" w:eastAsia="Calibri" w:hAnsi="Palatino Linotype" w:cs="Tahoma"/>
          <w:b/>
          <w:bCs/>
          <w:sz w:val="22"/>
          <w:szCs w:val="22"/>
          <w:lang w:val="es-ES" w:eastAsia="en-US"/>
        </w:rPr>
        <w:t>GUNDO</w:t>
      </w:r>
      <w:r w:rsidRPr="00054E79">
        <w:rPr>
          <w:rFonts w:ascii="Palatino Linotype" w:eastAsia="Calibri" w:hAnsi="Palatino Linotype" w:cs="Tahoma"/>
          <w:bCs/>
          <w:sz w:val="22"/>
          <w:szCs w:val="22"/>
          <w:lang w:val="es-ES" w:eastAsia="en-US"/>
        </w:rPr>
        <w:t xml:space="preserve">. </w:t>
      </w:r>
      <w:r w:rsidRPr="00054E79">
        <w:rPr>
          <w:rFonts w:ascii="Palatino Linotype" w:eastAsia="Calibri" w:hAnsi="Palatino Linotype" w:cs="Tahoma"/>
          <w:b/>
          <w:bCs/>
          <w:sz w:val="22"/>
          <w:szCs w:val="22"/>
          <w:lang w:val="es-ES" w:eastAsia="en-US"/>
        </w:rPr>
        <w:t>Causales de improcedencia y sobreseimiento.</w:t>
      </w:r>
      <w:r w:rsidRPr="00054E79">
        <w:rPr>
          <w:rFonts w:ascii="Palatino Linotype" w:eastAsia="Calibri" w:hAnsi="Palatino Linotype" w:cs="Tahoma"/>
          <w:bCs/>
          <w:sz w:val="22"/>
          <w:szCs w:val="22"/>
          <w:lang w:val="es-ES" w:eastAsia="en-US"/>
        </w:rPr>
        <w:t xml:space="preserve"> </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38319E" w:rsidRPr="00054E79" w:rsidRDefault="00806E45" w:rsidP="0038319E">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Pr>
          <w:rFonts w:ascii="Palatino Linotype" w:eastAsia="Calibri" w:hAnsi="Palatino Linotype" w:cs="Tahoma"/>
          <w:bCs/>
          <w:sz w:val="22"/>
          <w:szCs w:val="22"/>
          <w:lang w:val="es-ES" w:eastAsia="en-US"/>
        </w:rPr>
        <w:t>se encuentra obligado a efectuar el</w:t>
      </w:r>
      <w:r w:rsidRPr="00054E79">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054E79">
        <w:rPr>
          <w:rFonts w:ascii="Palatino Linotype" w:eastAsia="Calibri" w:hAnsi="Palatino Linotype" w:cs="Tahoma"/>
          <w:bCs/>
          <w:sz w:val="22"/>
          <w:szCs w:val="22"/>
          <w:lang w:val="es-ES" w:eastAsia="en-US"/>
        </w:rPr>
        <w:t>)</w:t>
      </w:r>
      <w:r w:rsidR="0038319E" w:rsidRPr="00054E79">
        <w:rPr>
          <w:rFonts w:ascii="Palatino Linotype" w:eastAsia="Calibri" w:hAnsi="Palatino Linotype" w:cs="Tahoma"/>
          <w:bCs/>
          <w:sz w:val="22"/>
          <w:szCs w:val="22"/>
          <w:lang w:val="es-ES" w:eastAsia="en-US"/>
        </w:rPr>
        <w:t xml:space="preserve">; </w:t>
      </w:r>
    </w:p>
    <w:p w:rsidR="0038319E" w:rsidRDefault="00DA1AD1" w:rsidP="0038319E">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simplePos x="0" y="0"/>
                <wp:positionH relativeFrom="column">
                  <wp:posOffset>115570</wp:posOffset>
                </wp:positionH>
                <wp:positionV relativeFrom="paragraph">
                  <wp:posOffset>95250</wp:posOffset>
                </wp:positionV>
                <wp:extent cx="5429250" cy="809625"/>
                <wp:effectExtent l="0" t="57150" r="19050" b="28575"/>
                <wp:wrapNone/>
                <wp:docPr id="2" name="Conector recto de flecha 2"/>
                <wp:cNvGraphicFramePr/>
                <a:graphic xmlns:a="http://schemas.openxmlformats.org/drawingml/2006/main">
                  <a:graphicData uri="http://schemas.microsoft.com/office/word/2010/wordprocessingShape">
                    <wps:wsp>
                      <wps:cNvCnPr/>
                      <wps:spPr>
                        <a:xfrm flipV="1">
                          <a:off x="0" y="0"/>
                          <a:ext cx="5429250" cy="809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54A092" id="Conector recto de flecha 2" o:spid="_x0000_s1026" type="#_x0000_t32" style="position:absolute;margin-left:9.1pt;margin-top:7.5pt;width:427.5pt;height:63.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" strokecolor="#4472c4 [3204]" strokeweight=".5pt">
                <v:stroke endarrow="block" joinstyle="miter"/>
              </v:shape>
            </w:pict>
          </mc:Fallback>
        </mc:AlternateContent>
      </w:r>
    </w:p>
    <w:p w:rsidR="00DA1AD1" w:rsidRDefault="00DA1AD1" w:rsidP="0038319E">
      <w:pPr>
        <w:spacing w:line="360" w:lineRule="auto"/>
        <w:jc w:val="both"/>
        <w:rPr>
          <w:rFonts w:ascii="Palatino Linotype" w:eastAsia="Calibri" w:hAnsi="Palatino Linotype" w:cs="Tahoma"/>
          <w:bCs/>
          <w:sz w:val="22"/>
          <w:szCs w:val="22"/>
          <w:lang w:val="es-ES" w:eastAsia="en-US"/>
        </w:rPr>
      </w:pPr>
    </w:p>
    <w:p w:rsidR="00DA1AD1" w:rsidRDefault="00DA1AD1" w:rsidP="0038319E">
      <w:pPr>
        <w:spacing w:line="360" w:lineRule="auto"/>
        <w:jc w:val="both"/>
        <w:rPr>
          <w:rFonts w:ascii="Palatino Linotype" w:eastAsia="Calibri" w:hAnsi="Palatino Linotype" w:cs="Tahoma"/>
          <w:bCs/>
          <w:sz w:val="22"/>
          <w:szCs w:val="22"/>
          <w:lang w:val="es-ES" w:eastAsia="en-US"/>
        </w:rPr>
      </w:pPr>
    </w:p>
    <w:p w:rsidR="00DA1AD1" w:rsidRPr="00054E79" w:rsidRDefault="00DA1AD1" w:rsidP="0038319E">
      <w:pPr>
        <w:spacing w:line="360" w:lineRule="auto"/>
        <w:jc w:val="both"/>
        <w:rPr>
          <w:rFonts w:ascii="Palatino Linotype" w:eastAsia="Calibri" w:hAnsi="Palatino Linotype" w:cs="Tahoma"/>
          <w:bCs/>
          <w:sz w:val="22"/>
          <w:szCs w:val="22"/>
          <w:lang w:val="es-ES" w:eastAsia="en-US"/>
        </w:rPr>
      </w:pPr>
    </w:p>
    <w:p w:rsidR="0038319E" w:rsidRPr="00054E79"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054E79">
        <w:rPr>
          <w:rFonts w:ascii="Palatino Linotype" w:eastAsia="Calibri" w:hAnsi="Palatino Linotype" w:cs="Tahoma"/>
          <w:b/>
          <w:bCs/>
          <w:szCs w:val="22"/>
          <w:lang w:val="es-ES" w:eastAsia="en-US"/>
        </w:rPr>
        <w:t>Ca</w:t>
      </w:r>
      <w:r w:rsidR="004D0BE6" w:rsidRPr="00054E79">
        <w:rPr>
          <w:rFonts w:ascii="Palatino Linotype" w:eastAsia="Calibri" w:hAnsi="Palatino Linotype" w:cs="Tahoma"/>
          <w:b/>
          <w:bCs/>
          <w:szCs w:val="22"/>
          <w:lang w:val="es-ES" w:eastAsia="en-US"/>
        </w:rPr>
        <w:t>us</w:t>
      </w:r>
      <w:r w:rsidRPr="00054E79">
        <w:rPr>
          <w:rFonts w:ascii="Palatino Linotype" w:eastAsia="Calibri" w:hAnsi="Palatino Linotype" w:cs="Tahoma"/>
          <w:b/>
          <w:bCs/>
          <w:szCs w:val="22"/>
          <w:lang w:val="es-ES" w:eastAsia="en-US"/>
        </w:rPr>
        <w:t>ales de improcedencia.</w:t>
      </w:r>
    </w:p>
    <w:p w:rsidR="0038319E" w:rsidRPr="00054E79" w:rsidRDefault="0038319E" w:rsidP="0038319E">
      <w:pPr>
        <w:spacing w:line="360" w:lineRule="auto"/>
        <w:jc w:val="both"/>
        <w:rPr>
          <w:rFonts w:ascii="Palatino Linotype" w:eastAsia="Calibri" w:hAnsi="Palatino Linotype" w:cs="Tahoma"/>
          <w:bCs/>
          <w:sz w:val="22"/>
          <w:szCs w:val="22"/>
          <w:lang w:val="es-ES" w:eastAsia="en-US"/>
        </w:rPr>
      </w:pPr>
    </w:p>
    <w:p w:rsidR="00E477A3" w:rsidRPr="00A56F39" w:rsidRDefault="00E477A3" w:rsidP="00E477A3">
      <w:pPr>
        <w:spacing w:line="360" w:lineRule="auto"/>
        <w:jc w:val="both"/>
        <w:rPr>
          <w:rFonts w:ascii="Palatino Linotype" w:hAnsi="Palatino Linotype" w:cs="Tahoma"/>
          <w:sz w:val="22"/>
          <w:szCs w:val="24"/>
        </w:rPr>
      </w:pPr>
      <w:r w:rsidRPr="00A56F3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477A3" w:rsidRPr="00EF5600"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477A3" w:rsidRPr="00EF5600"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E477A3" w:rsidRDefault="00E477A3" w:rsidP="00E477A3">
      <w:pPr>
        <w:spacing w:line="360" w:lineRule="auto"/>
        <w:jc w:val="both"/>
        <w:rPr>
          <w:rFonts w:ascii="Palatino Linotype" w:eastAsia="Calibri" w:hAnsi="Palatino Linotype" w:cs="Tahoma"/>
          <w:bCs/>
          <w:sz w:val="22"/>
          <w:szCs w:val="22"/>
          <w:lang w:val="es-ES" w:eastAsia="en-US"/>
        </w:rPr>
      </w:pPr>
    </w:p>
    <w:p w:rsidR="00E477A3"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EF5600">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r>
        <w:rPr>
          <w:rFonts w:ascii="Palatino Linotype" w:hAnsi="Palatino Linotype" w:cs="Tahoma"/>
          <w:sz w:val="22"/>
          <w:szCs w:val="22"/>
          <w:lang w:val="es-ES"/>
        </w:rPr>
        <w:t xml:space="preserve">; además de que </w:t>
      </w:r>
      <w:r w:rsidRPr="00EF5600">
        <w:rPr>
          <w:rFonts w:ascii="Palatino Linotype" w:eastAsia="Calibri" w:hAnsi="Palatino Linotype" w:cs="Tahoma"/>
          <w:color w:val="000000"/>
          <w:sz w:val="22"/>
          <w:szCs w:val="22"/>
          <w:lang w:val="es-ES" w:eastAsia="es-MX"/>
        </w:rPr>
        <w:t>el medio de impugnación fue presentando en tiempo.</w:t>
      </w:r>
    </w:p>
    <w:p w:rsidR="00E477A3"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8319E" w:rsidRPr="00054E79" w:rsidRDefault="00E477A3" w:rsidP="0076766A">
      <w:pPr>
        <w:spacing w:line="360" w:lineRule="auto"/>
        <w:jc w:val="both"/>
        <w:rPr>
          <w:rFonts w:ascii="Palatino Linotype" w:eastAsia="Calibri" w:hAnsi="Palatino Linotype" w:cs="Tahoma"/>
          <w:bCs/>
          <w:sz w:val="22"/>
          <w:szCs w:val="22"/>
          <w:lang w:val="es-ES" w:eastAsia="en-US"/>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 xml:space="preserve">se actualiza la causal de procedencia del recurso de revisión señalada en el artículo 179, </w:t>
      </w:r>
      <w:r w:rsidR="0076766A">
        <w:rPr>
          <w:rFonts w:ascii="Palatino Linotype" w:eastAsia="Calibri" w:hAnsi="Palatino Linotype" w:cs="Tahoma"/>
          <w:bCs/>
          <w:sz w:val="22"/>
          <w:szCs w:val="22"/>
          <w:lang w:val="es-ES" w:eastAsia="en-US"/>
        </w:rPr>
        <w:t xml:space="preserve">fracciones </w:t>
      </w:r>
      <w:r w:rsidR="003D4CB4">
        <w:rPr>
          <w:rFonts w:ascii="Palatino Linotype" w:eastAsia="Calibri" w:hAnsi="Palatino Linotype" w:cs="Tahoma"/>
          <w:bCs/>
          <w:sz w:val="22"/>
          <w:szCs w:val="22"/>
          <w:lang w:val="es-ES" w:eastAsia="en-US"/>
        </w:rPr>
        <w:t>I</w:t>
      </w:r>
      <w:r w:rsidR="0038319E" w:rsidRPr="00054E79">
        <w:rPr>
          <w:rFonts w:ascii="Palatino Linotype" w:eastAsia="Calibri" w:hAnsi="Palatino Linotype" w:cs="Tahoma"/>
          <w:bCs/>
          <w:sz w:val="22"/>
          <w:szCs w:val="22"/>
          <w:lang w:val="es-ES" w:eastAsia="en-US"/>
        </w:rPr>
        <w:t>,</w:t>
      </w:r>
      <w:r w:rsidR="003D4CB4">
        <w:rPr>
          <w:rFonts w:ascii="Palatino Linotype" w:eastAsia="Calibri" w:hAnsi="Palatino Linotype" w:cs="Tahoma"/>
          <w:bCs/>
          <w:sz w:val="22"/>
          <w:szCs w:val="22"/>
          <w:lang w:val="es-ES" w:eastAsia="en-US"/>
        </w:rPr>
        <w:t xml:space="preserve"> IX y XIII, de la Ley en cita.</w:t>
      </w:r>
    </w:p>
    <w:p w:rsidR="0038319E" w:rsidRPr="00054E79" w:rsidRDefault="0038319E" w:rsidP="0038319E">
      <w:pPr>
        <w:spacing w:line="276" w:lineRule="auto"/>
        <w:jc w:val="both"/>
        <w:rPr>
          <w:lang w:eastAsia="es-MX"/>
        </w:rPr>
      </w:pPr>
    </w:p>
    <w:p w:rsidR="0038319E" w:rsidRPr="00054E79"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054E79">
        <w:rPr>
          <w:rFonts w:ascii="Palatino Linotype" w:eastAsia="Calibri" w:hAnsi="Palatino Linotype" w:cs="Tahoma"/>
          <w:b/>
          <w:bCs/>
          <w:szCs w:val="22"/>
          <w:lang w:val="es-ES" w:eastAsia="en-US"/>
        </w:rPr>
        <w:lastRenderedPageBreak/>
        <w:t>Causales de sobreseimiento</w:t>
      </w:r>
      <w:r w:rsidRPr="00054E79">
        <w:rPr>
          <w:rFonts w:ascii="Palatino Linotype" w:eastAsia="Calibri" w:hAnsi="Palatino Linotype" w:cs="Tahoma"/>
          <w:bCs/>
          <w:szCs w:val="22"/>
          <w:lang w:val="es-ES" w:eastAsia="en-US"/>
        </w:rPr>
        <w:t>.</w:t>
      </w:r>
    </w:p>
    <w:p w:rsidR="00806E45" w:rsidRPr="00054E79" w:rsidRDefault="00806E45" w:rsidP="0038319E">
      <w:pPr>
        <w:spacing w:line="276" w:lineRule="auto"/>
        <w:jc w:val="both"/>
        <w:rPr>
          <w:rFonts w:ascii="Palatino Linotype" w:eastAsia="Calibri" w:hAnsi="Palatino Linotype" w:cs="Tahoma"/>
          <w:bCs/>
          <w:sz w:val="22"/>
          <w:szCs w:val="22"/>
          <w:lang w:val="es-ES" w:eastAsia="en-US"/>
        </w:rPr>
      </w:pPr>
    </w:p>
    <w:p w:rsidR="006E3C12" w:rsidRPr="006E3C12" w:rsidRDefault="006E3C12" w:rsidP="006E3C12">
      <w:pPr>
        <w:spacing w:line="360" w:lineRule="auto"/>
        <w:jc w:val="both"/>
        <w:rPr>
          <w:rFonts w:ascii="Palatino Linotype" w:eastAsia="Calibri" w:hAnsi="Palatino Linotype" w:cs="Tahoma"/>
          <w:bCs/>
          <w:sz w:val="22"/>
          <w:szCs w:val="22"/>
          <w:lang w:val="es-ES" w:eastAsia="en-US"/>
        </w:rPr>
      </w:pPr>
      <w:r w:rsidRPr="006E3C12">
        <w:rPr>
          <w:rFonts w:ascii="Palatino Linotype" w:eastAsia="Calibri" w:hAnsi="Palatino Linotype" w:cs="Tahoma"/>
          <w:bCs/>
          <w:sz w:val="22"/>
          <w:szCs w:val="22"/>
          <w:lang w:val="es-ES"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de tal manera que el recurso de revisión quedara sin materia, o que el recurso de revisión hubiera quedado sin materia por algún otro motivo. </w:t>
      </w:r>
    </w:p>
    <w:p w:rsidR="006E3C12" w:rsidRPr="006E3C12" w:rsidRDefault="006E3C12" w:rsidP="006E3C12">
      <w:pPr>
        <w:spacing w:line="360" w:lineRule="auto"/>
        <w:jc w:val="both"/>
        <w:rPr>
          <w:rFonts w:ascii="Palatino Linotype" w:eastAsia="Calibri" w:hAnsi="Palatino Linotype" w:cs="Tahoma"/>
          <w:bCs/>
          <w:sz w:val="22"/>
          <w:szCs w:val="22"/>
          <w:lang w:val="es-ES" w:eastAsia="en-US"/>
        </w:rPr>
      </w:pPr>
    </w:p>
    <w:p w:rsidR="006E3C12" w:rsidRPr="006E3C12" w:rsidRDefault="006E3C12" w:rsidP="006E3C12">
      <w:pPr>
        <w:spacing w:line="360" w:lineRule="auto"/>
        <w:jc w:val="both"/>
        <w:rPr>
          <w:rFonts w:ascii="Palatino Linotype" w:eastAsia="Calibri" w:hAnsi="Palatino Linotype" w:cs="Tahoma"/>
          <w:bCs/>
          <w:sz w:val="22"/>
          <w:szCs w:val="22"/>
          <w:lang w:val="es-ES" w:eastAsia="en-US"/>
        </w:rPr>
      </w:pPr>
      <w:r w:rsidRPr="006E3C12">
        <w:rPr>
          <w:rFonts w:ascii="Palatino Linotype" w:eastAsia="Calibri" w:hAnsi="Palatino Linotype" w:cs="Tahoma"/>
          <w:bCs/>
          <w:sz w:val="22"/>
          <w:szCs w:val="22"/>
          <w:lang w:val="es-ES" w:eastAsia="en-US"/>
        </w:rPr>
        <w:t xml:space="preserve">Consecuentemente, al </w:t>
      </w:r>
      <w:r w:rsidRPr="006E3C12">
        <w:rPr>
          <w:rFonts w:ascii="Palatino Linotype" w:eastAsia="Calibri" w:hAnsi="Palatino Linotype" w:cs="Tahoma"/>
          <w:b/>
          <w:bCs/>
          <w:sz w:val="22"/>
          <w:szCs w:val="22"/>
          <w:lang w:val="es-ES" w:eastAsia="en-US"/>
        </w:rPr>
        <w:t>no existir motivo de improcedencia o sobreseimiento en el presente asunto,</w:t>
      </w:r>
      <w:r w:rsidRPr="006E3C12">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rsidR="00EF7AFC" w:rsidRDefault="00EF7AFC" w:rsidP="00EF7AFC">
      <w:pPr>
        <w:spacing w:line="360" w:lineRule="auto"/>
        <w:jc w:val="both"/>
        <w:rPr>
          <w:rFonts w:ascii="Palatino Linotype" w:eastAsia="Calibri" w:hAnsi="Palatino Linotype" w:cs="Tahoma"/>
          <w:bCs/>
          <w:sz w:val="22"/>
          <w:szCs w:val="22"/>
          <w:lang w:eastAsia="en-US"/>
        </w:rPr>
      </w:pPr>
    </w:p>
    <w:p w:rsidR="006E3C12" w:rsidRDefault="006E3C12" w:rsidP="00EF7AFC">
      <w:pPr>
        <w:spacing w:line="360" w:lineRule="auto"/>
        <w:jc w:val="both"/>
        <w:rPr>
          <w:rFonts w:ascii="Palatino Linotype" w:eastAsia="Calibri" w:hAnsi="Palatino Linotype" w:cs="Tahoma"/>
          <w:bCs/>
          <w:sz w:val="22"/>
          <w:szCs w:val="22"/>
          <w:lang w:eastAsia="en-US"/>
        </w:rPr>
      </w:pPr>
      <w:r w:rsidRPr="009537A1">
        <w:rPr>
          <w:rFonts w:ascii="Palatino Linotype" w:eastAsia="Calibri" w:hAnsi="Palatino Linotype" w:cs="Tahoma"/>
          <w:b/>
          <w:bCs/>
          <w:sz w:val="22"/>
          <w:szCs w:val="22"/>
          <w:lang w:eastAsia="en-US"/>
        </w:rPr>
        <w:t>TERCERO.</w:t>
      </w:r>
      <w:r>
        <w:rPr>
          <w:rFonts w:ascii="Palatino Linotype" w:eastAsia="Calibri" w:hAnsi="Palatino Linotype" w:cs="Tahoma"/>
          <w:bCs/>
          <w:sz w:val="22"/>
          <w:szCs w:val="22"/>
          <w:lang w:eastAsia="en-US"/>
        </w:rPr>
        <w:t xml:space="preserve"> </w:t>
      </w:r>
      <w:r w:rsidR="009537A1">
        <w:rPr>
          <w:rFonts w:ascii="Palatino Linotype" w:eastAsia="Calibri" w:hAnsi="Palatino Linotype" w:cs="Tahoma"/>
          <w:bCs/>
          <w:sz w:val="22"/>
          <w:szCs w:val="22"/>
          <w:lang w:eastAsia="en-US"/>
        </w:rPr>
        <w:t>El Particular presentó una solicitud de acceso a la información pública ante la Unidad de Transparencia del Ayuntamiento de Cuautitlán Izcalli, por medio de la cual requirió, en la modalidad de entrega por Internet en el Sistema de Acceso a la Información Mexiquense (SAIMEX), los contenidos de información siguientes:</w:t>
      </w:r>
    </w:p>
    <w:p w:rsidR="009537A1" w:rsidRDefault="009537A1" w:rsidP="00EF7AFC">
      <w:pPr>
        <w:spacing w:line="360" w:lineRule="auto"/>
        <w:jc w:val="both"/>
        <w:rPr>
          <w:rFonts w:ascii="Palatino Linotype" w:eastAsia="Calibri" w:hAnsi="Palatino Linotype" w:cs="Tahoma"/>
          <w:bCs/>
          <w:sz w:val="22"/>
          <w:szCs w:val="22"/>
          <w:lang w:eastAsia="en-US"/>
        </w:rPr>
      </w:pPr>
    </w:p>
    <w:p w:rsidR="009537A1" w:rsidRDefault="009537A1" w:rsidP="009537A1">
      <w:pPr>
        <w:pStyle w:val="Prrafodelista"/>
        <w:numPr>
          <w:ilvl w:val="0"/>
          <w:numId w:val="3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La cantidad de recursos destinados a la reparación y repavimentación de las Avenidas </w:t>
      </w:r>
      <w:r w:rsidRPr="009537A1">
        <w:rPr>
          <w:rFonts w:ascii="Palatino Linotype" w:eastAsia="Calibri" w:hAnsi="Palatino Linotype" w:cs="Tahoma"/>
          <w:bCs/>
          <w:szCs w:val="22"/>
          <w:lang w:eastAsia="en-US"/>
        </w:rPr>
        <w:t>Paseos del Alba, de los Fr</w:t>
      </w:r>
      <w:r w:rsidR="0089716C">
        <w:rPr>
          <w:rFonts w:ascii="Palatino Linotype" w:eastAsia="Calibri" w:hAnsi="Palatino Linotype" w:cs="Tahoma"/>
          <w:bCs/>
          <w:szCs w:val="22"/>
          <w:lang w:eastAsia="en-US"/>
        </w:rPr>
        <w:t>esnos y Dr. Jorge Jiménez Cantú, en el presente año.</w:t>
      </w:r>
    </w:p>
    <w:p w:rsidR="0089716C" w:rsidRDefault="0089716C" w:rsidP="009537A1">
      <w:pPr>
        <w:pStyle w:val="Prrafodelista"/>
        <w:numPr>
          <w:ilvl w:val="0"/>
          <w:numId w:val="3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El tipo de material con el que se ha efectuado la reparación; y</w:t>
      </w:r>
    </w:p>
    <w:p w:rsidR="0089716C" w:rsidRPr="009537A1" w:rsidRDefault="0089716C" w:rsidP="009537A1">
      <w:pPr>
        <w:pStyle w:val="Prrafodelista"/>
        <w:numPr>
          <w:ilvl w:val="0"/>
          <w:numId w:val="3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La ficha técnica de las obras referidas.</w:t>
      </w:r>
    </w:p>
    <w:p w:rsidR="006E3C12" w:rsidRDefault="006E3C12" w:rsidP="00EF7AFC">
      <w:pPr>
        <w:spacing w:line="360" w:lineRule="auto"/>
        <w:jc w:val="both"/>
        <w:rPr>
          <w:rFonts w:ascii="Palatino Linotype" w:eastAsia="Calibri" w:hAnsi="Palatino Linotype" w:cs="Tahoma"/>
          <w:bCs/>
          <w:sz w:val="22"/>
          <w:szCs w:val="22"/>
          <w:lang w:eastAsia="en-US"/>
        </w:rPr>
      </w:pPr>
    </w:p>
    <w:p w:rsidR="0089716C" w:rsidRDefault="0089716C"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respuesta, el Ayuntamiento de Cuautitlán Izcalli, mediante la Dirección de Obras Públicas, informó al particular </w:t>
      </w:r>
      <w:r w:rsidR="00553121">
        <w:rPr>
          <w:rFonts w:ascii="Palatino Linotype" w:eastAsia="Calibri" w:hAnsi="Palatino Linotype" w:cs="Tahoma"/>
          <w:bCs/>
          <w:sz w:val="22"/>
          <w:szCs w:val="22"/>
          <w:lang w:eastAsia="en-US"/>
        </w:rPr>
        <w:t>que no</w:t>
      </w:r>
      <w:r w:rsidR="0054023A">
        <w:rPr>
          <w:rFonts w:ascii="Palatino Linotype" w:eastAsia="Calibri" w:hAnsi="Palatino Linotype" w:cs="Tahoma"/>
          <w:bCs/>
          <w:sz w:val="22"/>
          <w:szCs w:val="22"/>
          <w:lang w:eastAsia="en-US"/>
        </w:rPr>
        <w:t xml:space="preserve"> concentraba la información tal cual fue solicitada.</w:t>
      </w:r>
      <w:r w:rsidR="0076766A">
        <w:rPr>
          <w:rFonts w:ascii="Palatino Linotype" w:eastAsia="Calibri" w:hAnsi="Palatino Linotype" w:cs="Tahoma"/>
          <w:bCs/>
          <w:sz w:val="22"/>
          <w:szCs w:val="22"/>
          <w:lang w:eastAsia="en-US"/>
        </w:rPr>
        <w:t xml:space="preserve"> </w:t>
      </w:r>
      <w:r w:rsidR="00553121">
        <w:rPr>
          <w:rFonts w:ascii="Palatino Linotype" w:eastAsia="Calibri" w:hAnsi="Palatino Linotype" w:cs="Tahoma"/>
          <w:bCs/>
          <w:sz w:val="22"/>
          <w:szCs w:val="22"/>
          <w:lang w:eastAsia="en-US"/>
        </w:rPr>
        <w:t>Inco</w:t>
      </w:r>
      <w:r w:rsidR="008E2560">
        <w:rPr>
          <w:rFonts w:ascii="Palatino Linotype" w:eastAsia="Calibri" w:hAnsi="Palatino Linotype" w:cs="Tahoma"/>
          <w:bCs/>
          <w:sz w:val="22"/>
          <w:szCs w:val="22"/>
          <w:lang w:eastAsia="en-US"/>
        </w:rPr>
        <w:t>nforme con la respuesta, el particular presentó un recurso de revisión ante este Instituto, por virtud el cual manifestó que el Sujeto Obligado no proporcionó la información requerida, que la respuesta no está motivada y obra en un formato inaccesible.</w:t>
      </w:r>
    </w:p>
    <w:p w:rsidR="006E3C12" w:rsidRDefault="006E3C12" w:rsidP="00EF7AFC">
      <w:pPr>
        <w:spacing w:line="360" w:lineRule="auto"/>
        <w:jc w:val="both"/>
        <w:rPr>
          <w:rFonts w:ascii="Palatino Linotype" w:eastAsia="Calibri" w:hAnsi="Palatino Linotype" w:cs="Tahoma"/>
          <w:bCs/>
          <w:sz w:val="22"/>
          <w:szCs w:val="22"/>
          <w:lang w:eastAsia="en-US"/>
        </w:rPr>
      </w:pPr>
    </w:p>
    <w:p w:rsidR="006E3C12" w:rsidRDefault="008E2560"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las cosas, una vez admitido y notificado el presente recurso de revisión a las partes, el Ayuntamiento de Cuautitlán Izcalli manifestó, mediante su escrito de alegatos, que no se encontraba obligado a generar un documento específico </w:t>
      </w:r>
      <w:r w:rsidR="000F6A61">
        <w:rPr>
          <w:rFonts w:ascii="Palatino Linotype" w:eastAsia="Calibri" w:hAnsi="Palatino Linotype" w:cs="Tahoma"/>
          <w:bCs/>
          <w:sz w:val="22"/>
          <w:szCs w:val="22"/>
          <w:lang w:eastAsia="en-US"/>
        </w:rPr>
        <w:t>para dar</w:t>
      </w:r>
      <w:r>
        <w:rPr>
          <w:rFonts w:ascii="Palatino Linotype" w:eastAsia="Calibri" w:hAnsi="Palatino Linotype" w:cs="Tahoma"/>
          <w:bCs/>
          <w:sz w:val="22"/>
          <w:szCs w:val="22"/>
          <w:lang w:eastAsia="en-US"/>
        </w:rPr>
        <w:t xml:space="preserve"> puntual atención a los contenidos de información requeridos por el </w:t>
      </w:r>
      <w:r w:rsidR="004D6A26">
        <w:rPr>
          <w:rFonts w:ascii="Palatino Linotype" w:eastAsia="Calibri" w:hAnsi="Palatino Linotype" w:cs="Tahoma"/>
          <w:bCs/>
          <w:sz w:val="22"/>
          <w:szCs w:val="22"/>
          <w:lang w:eastAsia="en-US"/>
        </w:rPr>
        <w:t>Particular</w:t>
      </w:r>
      <w:r>
        <w:rPr>
          <w:rFonts w:ascii="Palatino Linotype" w:eastAsia="Calibri" w:hAnsi="Palatino Linotype" w:cs="Tahoma"/>
          <w:bCs/>
          <w:sz w:val="22"/>
          <w:szCs w:val="22"/>
          <w:lang w:eastAsia="en-US"/>
        </w:rPr>
        <w:t>.</w:t>
      </w:r>
    </w:p>
    <w:p w:rsidR="006E3C12" w:rsidRDefault="006E3C12" w:rsidP="00EF7AFC">
      <w:pPr>
        <w:spacing w:line="360" w:lineRule="auto"/>
        <w:jc w:val="both"/>
        <w:rPr>
          <w:rFonts w:ascii="Palatino Linotype" w:eastAsia="Calibri" w:hAnsi="Palatino Linotype" w:cs="Tahoma"/>
          <w:bCs/>
          <w:sz w:val="22"/>
          <w:szCs w:val="22"/>
          <w:lang w:eastAsia="en-US"/>
        </w:rPr>
      </w:pPr>
    </w:p>
    <w:p w:rsidR="000F6A61" w:rsidRPr="000F6A61" w:rsidRDefault="000F6A61" w:rsidP="000F6A61">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Ahora bien</w:t>
      </w:r>
      <w:r w:rsidRPr="000F6A61">
        <w:rPr>
          <w:rFonts w:ascii="Palatino Linotype" w:eastAsia="Calibri" w:hAnsi="Palatino Linotype" w:cs="Tahoma"/>
          <w:bCs/>
          <w:iCs/>
          <w:sz w:val="22"/>
          <w:szCs w:val="22"/>
          <w:lang w:eastAsia="en-US"/>
        </w:rPr>
        <w:t xml:space="preserve">, por exhaustividad, es preciso indicar que todo lo narrado </w:t>
      </w:r>
      <w:r>
        <w:rPr>
          <w:rFonts w:ascii="Palatino Linotype" w:eastAsia="Calibri" w:hAnsi="Palatino Linotype" w:cs="Tahoma"/>
          <w:bCs/>
          <w:iCs/>
          <w:sz w:val="22"/>
          <w:szCs w:val="22"/>
          <w:lang w:eastAsia="en-US"/>
        </w:rPr>
        <w:t xml:space="preserve">en el presente apartado, </w:t>
      </w:r>
      <w:r w:rsidRPr="000F6A61">
        <w:rPr>
          <w:rFonts w:ascii="Palatino Linotype" w:eastAsia="Calibri" w:hAnsi="Palatino Linotype" w:cs="Tahoma"/>
          <w:bCs/>
          <w:iCs/>
          <w:sz w:val="22"/>
          <w:szCs w:val="22"/>
          <w:lang w:eastAsia="en-US"/>
        </w:rPr>
        <w:t>encuentra sustento en el material documental que obra en el expediente y el Sistema de Acceso a la Información Mexiquense (SAIMEX); documentales que se desahogan por su propia y especial naturaleza como instrumental de actuaciones y que, a efecto de resolver lo que en derecho corresponde, serán valoradas en la presente resolución de acuerdo a la lógica y la experiencia, a fin de que la argumentación y decisión de este Instituto sea lo suficientemente contundente para justificar la determinación adoptada, de manera congruente con la Litis planteada.</w:t>
      </w:r>
    </w:p>
    <w:p w:rsidR="000F6A61" w:rsidRPr="000F6A61" w:rsidRDefault="000F6A61" w:rsidP="000F6A61">
      <w:pPr>
        <w:spacing w:line="360" w:lineRule="auto"/>
        <w:jc w:val="both"/>
        <w:rPr>
          <w:rFonts w:ascii="Palatino Linotype" w:eastAsia="Calibri" w:hAnsi="Palatino Linotype" w:cs="Tahoma"/>
          <w:bCs/>
          <w:iCs/>
          <w:sz w:val="22"/>
          <w:szCs w:val="22"/>
          <w:lang w:val="es-ES" w:eastAsia="en-US"/>
        </w:rPr>
      </w:pPr>
    </w:p>
    <w:p w:rsidR="000F6A61" w:rsidRPr="000F6A61" w:rsidRDefault="000F6A61" w:rsidP="000F6A61">
      <w:pPr>
        <w:spacing w:line="360" w:lineRule="auto"/>
        <w:jc w:val="both"/>
        <w:rPr>
          <w:rFonts w:ascii="Palatino Linotype" w:eastAsia="Calibri" w:hAnsi="Palatino Linotype" w:cs="Tahoma"/>
          <w:bCs/>
          <w:iCs/>
          <w:sz w:val="22"/>
          <w:szCs w:val="22"/>
          <w:lang w:val="es-ES" w:eastAsia="en-US"/>
        </w:rPr>
      </w:pPr>
      <w:r w:rsidRPr="000F6A61">
        <w:rPr>
          <w:rFonts w:ascii="Palatino Linotype" w:eastAsia="Calibri" w:hAnsi="Palatino Linotype" w:cs="Tahoma"/>
          <w:bCs/>
          <w:iCs/>
          <w:sz w:val="22"/>
          <w:szCs w:val="22"/>
          <w:lang w:val="es-ES" w:eastAsia="en-US"/>
        </w:rPr>
        <w:t xml:space="preserve">Establecida la controversia en los términos que han sido señalados en el presente considerando, lo consecuente es analizar la legalidad de la respuesta </w:t>
      </w:r>
      <w:r>
        <w:rPr>
          <w:rFonts w:ascii="Palatino Linotype" w:eastAsia="Calibri" w:hAnsi="Palatino Linotype" w:cs="Tahoma"/>
          <w:bCs/>
          <w:iCs/>
          <w:sz w:val="22"/>
          <w:szCs w:val="22"/>
          <w:lang w:val="es-ES" w:eastAsia="en-US"/>
        </w:rPr>
        <w:t xml:space="preserve">emitida </w:t>
      </w:r>
      <w:r w:rsidRPr="000F6A61">
        <w:rPr>
          <w:rFonts w:ascii="Palatino Linotype" w:eastAsia="Calibri" w:hAnsi="Palatino Linotype" w:cs="Tahoma"/>
          <w:bCs/>
          <w:iCs/>
          <w:sz w:val="22"/>
          <w:szCs w:val="22"/>
          <w:lang w:val="es-ES" w:eastAsia="en-US"/>
        </w:rPr>
        <w:t xml:space="preserve">por el </w:t>
      </w:r>
      <w:r>
        <w:rPr>
          <w:rFonts w:ascii="Palatino Linotype" w:eastAsia="Calibri" w:hAnsi="Palatino Linotype" w:cs="Tahoma"/>
          <w:bCs/>
          <w:iCs/>
          <w:sz w:val="22"/>
          <w:szCs w:val="22"/>
          <w:lang w:val="es-ES" w:eastAsia="en-US"/>
        </w:rPr>
        <w:t>Ayuntamiento de Cuautitlán Izcalli</w:t>
      </w:r>
      <w:r w:rsidRPr="000F6A61">
        <w:rPr>
          <w:rFonts w:ascii="Palatino Linotype" w:eastAsia="Calibri" w:hAnsi="Palatino Linotype" w:cs="Tahoma"/>
          <w:bCs/>
          <w:iCs/>
          <w:sz w:val="22"/>
          <w:szCs w:val="22"/>
          <w:lang w:val="es-ES" w:eastAsia="en-US"/>
        </w:rPr>
        <w:t xml:space="preserve"> a la luz de los agravios manifestados por el ahora recurrente, de conformidad con lo dispuesto por la Ley de Transparencia y Acceso a la Información Pública del Estado de México y Municipios y demás disposiciones legales aplicables a la materia que se resuelve.</w:t>
      </w:r>
    </w:p>
    <w:p w:rsidR="00C7474B" w:rsidRDefault="00C7474B" w:rsidP="00EF7AFC">
      <w:pPr>
        <w:spacing w:line="360" w:lineRule="auto"/>
        <w:jc w:val="both"/>
        <w:rPr>
          <w:rFonts w:ascii="Palatino Linotype" w:eastAsia="Calibri" w:hAnsi="Palatino Linotype" w:cs="Tahoma"/>
          <w:bCs/>
          <w:sz w:val="22"/>
          <w:szCs w:val="22"/>
          <w:lang w:eastAsia="en-US"/>
        </w:rPr>
      </w:pPr>
    </w:p>
    <w:p w:rsidR="00721B7D" w:rsidRDefault="000F6A61" w:rsidP="00EF7AFC">
      <w:pPr>
        <w:spacing w:line="360" w:lineRule="auto"/>
        <w:jc w:val="both"/>
        <w:rPr>
          <w:rFonts w:ascii="Palatino Linotype" w:eastAsia="Calibri" w:hAnsi="Palatino Linotype" w:cs="Tahoma"/>
          <w:bCs/>
          <w:sz w:val="22"/>
          <w:szCs w:val="22"/>
          <w:lang w:eastAsia="en-US"/>
        </w:rPr>
      </w:pPr>
      <w:r w:rsidRPr="00CF67BE">
        <w:rPr>
          <w:rFonts w:ascii="Palatino Linotype" w:eastAsia="Calibri" w:hAnsi="Palatino Linotype" w:cs="Tahoma"/>
          <w:b/>
          <w:bCs/>
          <w:sz w:val="22"/>
          <w:szCs w:val="22"/>
          <w:lang w:eastAsia="en-US"/>
        </w:rPr>
        <w:t>CUARTO.</w:t>
      </w:r>
      <w:r>
        <w:rPr>
          <w:rFonts w:ascii="Palatino Linotype" w:eastAsia="Calibri" w:hAnsi="Palatino Linotype" w:cs="Tahoma"/>
          <w:bCs/>
          <w:sz w:val="22"/>
          <w:szCs w:val="22"/>
          <w:lang w:eastAsia="en-US"/>
        </w:rPr>
        <w:t xml:space="preserve"> </w:t>
      </w:r>
      <w:r w:rsidR="00CF67BE">
        <w:rPr>
          <w:rFonts w:ascii="Palatino Linotype" w:eastAsia="Calibri" w:hAnsi="Palatino Linotype" w:cs="Tahoma"/>
          <w:bCs/>
          <w:sz w:val="22"/>
          <w:szCs w:val="22"/>
          <w:lang w:eastAsia="en-US"/>
        </w:rPr>
        <w:t>Tal como se desprende de la relatoría efectuada en el apartado anterior, el particular manif</w:t>
      </w:r>
      <w:r w:rsidR="00721B7D">
        <w:rPr>
          <w:rFonts w:ascii="Palatino Linotype" w:eastAsia="Calibri" w:hAnsi="Palatino Linotype" w:cs="Tahoma"/>
          <w:bCs/>
          <w:sz w:val="22"/>
          <w:szCs w:val="22"/>
          <w:lang w:eastAsia="en-US"/>
        </w:rPr>
        <w:t>estó</w:t>
      </w:r>
      <w:r w:rsidR="00CF67BE">
        <w:rPr>
          <w:rFonts w:ascii="Palatino Linotype" w:eastAsia="Calibri" w:hAnsi="Palatino Linotype" w:cs="Tahoma"/>
          <w:bCs/>
          <w:sz w:val="22"/>
          <w:szCs w:val="22"/>
          <w:lang w:eastAsia="en-US"/>
        </w:rPr>
        <w:t xml:space="preserve"> </w:t>
      </w:r>
      <w:r w:rsidR="00637E34">
        <w:rPr>
          <w:rFonts w:ascii="Palatino Linotype" w:eastAsia="Calibri" w:hAnsi="Palatino Linotype" w:cs="Tahoma"/>
          <w:bCs/>
          <w:sz w:val="22"/>
          <w:szCs w:val="22"/>
          <w:lang w:eastAsia="en-US"/>
        </w:rPr>
        <w:t xml:space="preserve">tres agravios: </w:t>
      </w:r>
    </w:p>
    <w:p w:rsidR="00721B7D" w:rsidRPr="00E10FB5" w:rsidRDefault="00637E34" w:rsidP="00E10FB5">
      <w:pPr>
        <w:pStyle w:val="Prrafodelista"/>
        <w:numPr>
          <w:ilvl w:val="0"/>
          <w:numId w:val="35"/>
        </w:numPr>
        <w:spacing w:line="360" w:lineRule="auto"/>
        <w:jc w:val="both"/>
        <w:rPr>
          <w:rFonts w:ascii="Palatino Linotype" w:eastAsia="Calibri" w:hAnsi="Palatino Linotype" w:cs="Tahoma"/>
          <w:bCs/>
          <w:szCs w:val="22"/>
          <w:lang w:eastAsia="en-US"/>
        </w:rPr>
      </w:pPr>
      <w:r w:rsidRPr="00E10FB5">
        <w:rPr>
          <w:rFonts w:ascii="Palatino Linotype" w:eastAsia="Calibri" w:hAnsi="Palatino Linotype" w:cs="Tahoma"/>
          <w:b/>
          <w:bCs/>
          <w:szCs w:val="22"/>
          <w:lang w:eastAsia="en-US"/>
        </w:rPr>
        <w:t>la negativa a la información solicitada</w:t>
      </w:r>
      <w:r w:rsidRPr="00E10FB5">
        <w:rPr>
          <w:rFonts w:ascii="Palatino Linotype" w:eastAsia="Calibri" w:hAnsi="Palatino Linotype" w:cs="Tahoma"/>
          <w:bCs/>
          <w:szCs w:val="22"/>
          <w:lang w:eastAsia="en-US"/>
        </w:rPr>
        <w:t xml:space="preserve">; </w:t>
      </w:r>
    </w:p>
    <w:p w:rsidR="00721B7D" w:rsidRDefault="00637E34" w:rsidP="00E10FB5">
      <w:pPr>
        <w:pStyle w:val="Prrafodelista"/>
        <w:numPr>
          <w:ilvl w:val="0"/>
          <w:numId w:val="35"/>
        </w:numPr>
        <w:spacing w:line="360" w:lineRule="auto"/>
        <w:jc w:val="both"/>
        <w:rPr>
          <w:rFonts w:ascii="Palatino Linotype" w:eastAsia="Calibri" w:hAnsi="Palatino Linotype" w:cs="Tahoma"/>
          <w:bCs/>
          <w:szCs w:val="22"/>
          <w:lang w:eastAsia="en-US"/>
        </w:rPr>
      </w:pPr>
      <w:r w:rsidRPr="00E10FB5">
        <w:rPr>
          <w:rFonts w:ascii="Palatino Linotype" w:eastAsia="Calibri" w:hAnsi="Palatino Linotype" w:cs="Tahoma"/>
          <w:bCs/>
          <w:szCs w:val="22"/>
          <w:lang w:eastAsia="en-US"/>
        </w:rPr>
        <w:t xml:space="preserve">(ii) la falta de motivación de la respuesta, y; </w:t>
      </w:r>
    </w:p>
    <w:p w:rsidR="006E3C12" w:rsidRPr="00E10FB5" w:rsidRDefault="00637E34" w:rsidP="00E10FB5">
      <w:pPr>
        <w:pStyle w:val="Prrafodelista"/>
        <w:numPr>
          <w:ilvl w:val="0"/>
          <w:numId w:val="35"/>
        </w:numPr>
        <w:spacing w:line="360" w:lineRule="auto"/>
        <w:jc w:val="both"/>
        <w:rPr>
          <w:rFonts w:ascii="Palatino Linotype" w:eastAsia="Calibri" w:hAnsi="Palatino Linotype" w:cs="Tahoma"/>
          <w:bCs/>
          <w:szCs w:val="22"/>
          <w:lang w:eastAsia="en-US"/>
        </w:rPr>
      </w:pPr>
      <w:r w:rsidRPr="00E10FB5">
        <w:rPr>
          <w:rFonts w:ascii="Palatino Linotype" w:eastAsia="Calibri" w:hAnsi="Palatino Linotype" w:cs="Tahoma"/>
          <w:bCs/>
          <w:szCs w:val="22"/>
          <w:lang w:eastAsia="en-US"/>
        </w:rPr>
        <w:t>(iii) la entrega de información en un formato incomprensible.</w:t>
      </w:r>
    </w:p>
    <w:p w:rsidR="006E3C12" w:rsidRDefault="006E3C12" w:rsidP="00EF7AFC">
      <w:pPr>
        <w:spacing w:line="360" w:lineRule="auto"/>
        <w:jc w:val="both"/>
        <w:rPr>
          <w:rFonts w:ascii="Palatino Linotype" w:eastAsia="Calibri" w:hAnsi="Palatino Linotype" w:cs="Tahoma"/>
          <w:bCs/>
          <w:sz w:val="22"/>
          <w:szCs w:val="22"/>
          <w:lang w:eastAsia="en-US"/>
        </w:rPr>
      </w:pPr>
    </w:p>
    <w:p w:rsidR="006E3C12" w:rsidRDefault="00637E34"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como del análisis a las constancias que obran agregadas al expediente del recurso de revisión que nos ocupa, se advierte que el Sujeto Obligado no proporcionó información alguna en relación a lo requerido por el particular, en caso de poderse comprobar que el Ayuntamiento de Cuautitlán Izcalli está en aptitud de proporcionar documentos que colmen la pretensión del particular, la consecuencia inmediata será ordenar su entrega, satisfaciendo con ello el derecho de acceso a la información del ahora recurrente. En otras palabras, de resultar fundado el agravio relativo a la negativa de la información solicitada, será innecesario el estudio de los restantes motivos de queja, </w:t>
      </w:r>
      <w:r w:rsidRPr="00637E34">
        <w:rPr>
          <w:rFonts w:ascii="Palatino Linotype" w:eastAsia="Calibri" w:hAnsi="Palatino Linotype" w:cs="Tahoma"/>
          <w:bCs/>
          <w:sz w:val="22"/>
          <w:szCs w:val="22"/>
          <w:lang w:eastAsia="en-US"/>
        </w:rPr>
        <w:t>pues con ellos no se obtendría algún otro efecto diverso al ya determinado</w:t>
      </w:r>
      <w:r w:rsidR="000F47B6">
        <w:rPr>
          <w:rFonts w:ascii="Palatino Linotype" w:eastAsia="Calibri" w:hAnsi="Palatino Linotype" w:cs="Tahoma"/>
          <w:bCs/>
          <w:sz w:val="22"/>
          <w:szCs w:val="22"/>
          <w:lang w:eastAsia="en-US"/>
        </w:rPr>
        <w:t>, sobre todo valorando que la documentación solicitada no fue entregada.</w:t>
      </w:r>
    </w:p>
    <w:p w:rsidR="00637E34" w:rsidRDefault="00637E34" w:rsidP="00EF7AFC">
      <w:pPr>
        <w:spacing w:line="360" w:lineRule="auto"/>
        <w:jc w:val="both"/>
        <w:rPr>
          <w:rFonts w:ascii="Palatino Linotype" w:eastAsia="Calibri" w:hAnsi="Palatino Linotype" w:cs="Tahoma"/>
          <w:bCs/>
          <w:sz w:val="22"/>
          <w:szCs w:val="22"/>
          <w:lang w:eastAsia="en-US"/>
        </w:rPr>
      </w:pPr>
    </w:p>
    <w:p w:rsidR="00637E34" w:rsidRDefault="00637E34"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resulta orientadora la Jurisprudencia </w:t>
      </w:r>
      <w:r w:rsidRPr="00637E34">
        <w:rPr>
          <w:rFonts w:ascii="Palatino Linotype" w:eastAsia="Calibri" w:hAnsi="Palatino Linotype" w:cs="Tahoma"/>
          <w:bCs/>
          <w:sz w:val="22"/>
          <w:szCs w:val="22"/>
          <w:lang w:eastAsia="en-US"/>
        </w:rPr>
        <w:t>I.7o.A. J/47</w:t>
      </w:r>
      <w:r>
        <w:rPr>
          <w:rFonts w:ascii="Palatino Linotype" w:eastAsia="Calibri" w:hAnsi="Palatino Linotype" w:cs="Tahoma"/>
          <w:bCs/>
          <w:sz w:val="22"/>
          <w:szCs w:val="22"/>
          <w:lang w:eastAsia="en-US"/>
        </w:rPr>
        <w:t>,</w:t>
      </w:r>
      <w:r w:rsidRPr="00637E34">
        <w:t xml:space="preserve"> </w:t>
      </w:r>
      <w:r w:rsidRPr="00637E34">
        <w:rPr>
          <w:rFonts w:ascii="Palatino Linotype" w:eastAsia="Calibri" w:hAnsi="Palatino Linotype" w:cs="Tahoma"/>
          <w:bCs/>
          <w:sz w:val="22"/>
          <w:szCs w:val="22"/>
          <w:lang w:eastAsia="en-US"/>
        </w:rPr>
        <w:t xml:space="preserve">de </w:t>
      </w:r>
      <w:r>
        <w:rPr>
          <w:rFonts w:ascii="Palatino Linotype" w:eastAsia="Calibri" w:hAnsi="Palatino Linotype" w:cs="Tahoma"/>
          <w:bCs/>
          <w:sz w:val="22"/>
          <w:szCs w:val="22"/>
          <w:lang w:eastAsia="en-US"/>
        </w:rPr>
        <w:t>Tribunales Colegiados de Circuito</w:t>
      </w:r>
      <w:r w:rsidR="006E2CA1">
        <w:rPr>
          <w:rFonts w:ascii="Palatino Linotype" w:eastAsia="Calibri" w:hAnsi="Palatino Linotype" w:cs="Tahoma"/>
          <w:bCs/>
          <w:sz w:val="22"/>
          <w:szCs w:val="22"/>
          <w:lang w:eastAsia="en-US"/>
        </w:rPr>
        <w:t>, visible en la página 1244</w:t>
      </w:r>
      <w:r w:rsidRPr="00637E34">
        <w:rPr>
          <w:rFonts w:ascii="Palatino Linotype" w:eastAsia="Calibri" w:hAnsi="Palatino Linotype" w:cs="Tahoma"/>
          <w:bCs/>
          <w:sz w:val="22"/>
          <w:szCs w:val="22"/>
          <w:lang w:eastAsia="en-US"/>
        </w:rPr>
        <w:t xml:space="preserve"> del Semanario Judicial de la </w:t>
      </w:r>
      <w:r w:rsidR="006E2CA1">
        <w:rPr>
          <w:rFonts w:ascii="Palatino Linotype" w:eastAsia="Calibri" w:hAnsi="Palatino Linotype" w:cs="Tahoma"/>
          <w:bCs/>
          <w:sz w:val="22"/>
          <w:szCs w:val="22"/>
          <w:lang w:eastAsia="en-US"/>
        </w:rPr>
        <w:t>Federación y su Gaceta, Tomo XXX, agosto de 2009</w:t>
      </w:r>
      <w:r w:rsidRPr="00637E34">
        <w:rPr>
          <w:rFonts w:ascii="Palatino Linotype" w:eastAsia="Calibri" w:hAnsi="Palatino Linotype" w:cs="Tahoma"/>
          <w:bCs/>
          <w:sz w:val="22"/>
          <w:szCs w:val="22"/>
          <w:lang w:eastAsia="en-US"/>
        </w:rPr>
        <w:t>, Novena Época, de rubro y texto siguientes:</w:t>
      </w:r>
    </w:p>
    <w:p w:rsidR="006E3C12" w:rsidRDefault="006E3C12" w:rsidP="00EF7AFC">
      <w:pPr>
        <w:spacing w:line="360" w:lineRule="auto"/>
        <w:jc w:val="both"/>
        <w:rPr>
          <w:rFonts w:ascii="Palatino Linotype" w:eastAsia="Calibri" w:hAnsi="Palatino Linotype" w:cs="Tahoma"/>
          <w:bCs/>
          <w:sz w:val="22"/>
          <w:szCs w:val="22"/>
          <w:lang w:eastAsia="en-US"/>
        </w:rPr>
      </w:pPr>
    </w:p>
    <w:p w:rsidR="006E2CA1" w:rsidRPr="006E2CA1" w:rsidRDefault="006E2CA1" w:rsidP="006E2CA1">
      <w:pPr>
        <w:spacing w:line="360" w:lineRule="auto"/>
        <w:ind w:left="567" w:right="567"/>
        <w:jc w:val="both"/>
        <w:rPr>
          <w:rFonts w:ascii="Palatino Linotype" w:eastAsia="Calibri" w:hAnsi="Palatino Linotype" w:cs="Tahoma"/>
          <w:b/>
          <w:bCs/>
          <w:lang w:eastAsia="en-US"/>
        </w:rPr>
      </w:pPr>
      <w:r w:rsidRPr="006E2CA1">
        <w:rPr>
          <w:rFonts w:ascii="Palatino Linotype" w:eastAsia="Calibri" w:hAnsi="Palatino Linotype" w:cs="Tahoma"/>
          <w:b/>
          <w:bCs/>
          <w:lang w:eastAsia="en-US"/>
        </w:rPr>
        <w:t>AGRAVIOS EN LA REVISIÓN FISCAL. SI UNO DE ELLOS RESULTA FUNDADO Y SUFICIENTE PARA DEJAR SIN EFECTOS EL FALLO IMPUGNADO, ES INNECESARIO EL ESTUDIO DE LOS RESTANTES.</w:t>
      </w:r>
    </w:p>
    <w:p w:rsidR="006E2CA1" w:rsidRPr="006E2CA1" w:rsidRDefault="006E2CA1" w:rsidP="006E2CA1">
      <w:pPr>
        <w:spacing w:line="360" w:lineRule="auto"/>
        <w:ind w:left="567" w:right="567"/>
        <w:jc w:val="both"/>
        <w:rPr>
          <w:rFonts w:ascii="Palatino Linotype" w:eastAsia="Calibri" w:hAnsi="Palatino Linotype" w:cs="Tahoma"/>
          <w:bCs/>
          <w:lang w:eastAsia="en-US"/>
        </w:rPr>
      </w:pPr>
    </w:p>
    <w:p w:rsidR="006E3C12" w:rsidRPr="006E2CA1" w:rsidRDefault="006E2CA1" w:rsidP="006E2CA1">
      <w:pPr>
        <w:spacing w:line="360" w:lineRule="auto"/>
        <w:ind w:left="567" w:right="567"/>
        <w:jc w:val="both"/>
        <w:rPr>
          <w:rFonts w:ascii="Palatino Linotype" w:eastAsia="Calibri" w:hAnsi="Palatino Linotype" w:cs="Tahoma"/>
          <w:b/>
          <w:bCs/>
          <w:u w:val="single"/>
          <w:lang w:eastAsia="en-US"/>
        </w:rPr>
      </w:pPr>
      <w:r w:rsidRPr="006E2CA1">
        <w:rPr>
          <w:rFonts w:ascii="Palatino Linotype" w:eastAsia="Calibri" w:hAnsi="Palatino Linotype" w:cs="Tahoma"/>
          <w:b/>
          <w:bCs/>
          <w:lang w:eastAsia="en-US"/>
        </w:rPr>
        <w:lastRenderedPageBreak/>
        <w:t>Si al analizar los agravios invocados en el recurso de revisión</w:t>
      </w:r>
      <w:r w:rsidRPr="006E2CA1">
        <w:rPr>
          <w:rFonts w:ascii="Palatino Linotype" w:eastAsia="Calibri" w:hAnsi="Palatino Linotype" w:cs="Tahoma"/>
          <w:bCs/>
          <w:lang w:eastAsia="en-US"/>
        </w:rPr>
        <w:t xml:space="preserve"> fiscal previsto en el artículo 63 de la Ley Federal de Procedimiento Contencioso Administrativo (correlativo del precepto 248 del Código Fiscal de la Federación, vigente hasta el 31 de diciembre de 2005), </w:t>
      </w:r>
      <w:r w:rsidRPr="006E2CA1">
        <w:rPr>
          <w:rFonts w:ascii="Palatino Linotype" w:eastAsia="Calibri" w:hAnsi="Palatino Linotype" w:cs="Tahoma"/>
          <w:b/>
          <w:bCs/>
          <w:u w:val="single"/>
          <w:lang w:eastAsia="en-US"/>
        </w:rPr>
        <w:t>uno de ellos resulta fundado y suficiente para dejar sin efectos el fallo impugnado, es innecesario el estudio de los restantes motivos de queja, pues con ellos no se obtendría algún otro efecto diverso al ya determinado.</w:t>
      </w:r>
    </w:p>
    <w:p w:rsidR="006E3C12" w:rsidRDefault="006E3C12" w:rsidP="00EF7AFC">
      <w:pPr>
        <w:spacing w:line="360" w:lineRule="auto"/>
        <w:jc w:val="both"/>
        <w:rPr>
          <w:rFonts w:ascii="Palatino Linotype" w:eastAsia="Calibri" w:hAnsi="Palatino Linotype" w:cs="Tahoma"/>
          <w:bCs/>
          <w:sz w:val="22"/>
          <w:szCs w:val="22"/>
          <w:lang w:eastAsia="en-US"/>
        </w:rPr>
      </w:pPr>
    </w:p>
    <w:p w:rsidR="003F5F1F" w:rsidRDefault="006E2CA1" w:rsidP="00B303E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Aclarado lo anterior, lo consecuente es </w:t>
      </w:r>
      <w:r w:rsidR="00B303E3">
        <w:rPr>
          <w:rFonts w:ascii="Palatino Linotype" w:eastAsia="Calibri" w:hAnsi="Palatino Linotype" w:cs="Tahoma"/>
          <w:bCs/>
          <w:sz w:val="22"/>
          <w:szCs w:val="22"/>
          <w:lang w:eastAsia="en-US"/>
        </w:rPr>
        <w:t>analizar el agravio relativo a la negativa de la información.</w:t>
      </w:r>
    </w:p>
    <w:p w:rsidR="003F5F1F" w:rsidRDefault="003F5F1F" w:rsidP="00B303E3">
      <w:pPr>
        <w:spacing w:line="360" w:lineRule="auto"/>
        <w:jc w:val="both"/>
        <w:rPr>
          <w:rFonts w:ascii="Palatino Linotype" w:eastAsia="Calibri" w:hAnsi="Palatino Linotype" w:cs="Tahoma"/>
          <w:bCs/>
          <w:sz w:val="22"/>
          <w:szCs w:val="22"/>
          <w:lang w:eastAsia="en-US"/>
        </w:rPr>
      </w:pPr>
    </w:p>
    <w:p w:rsidR="00B303E3" w:rsidRPr="00B303E3" w:rsidRDefault="00B303E3" w:rsidP="00B303E3">
      <w:pPr>
        <w:spacing w:line="360" w:lineRule="auto"/>
        <w:jc w:val="both"/>
        <w:rPr>
          <w:rFonts w:ascii="Palatino Linotype" w:eastAsia="Calibri" w:hAnsi="Palatino Linotype" w:cs="Tahoma"/>
          <w:bCs/>
          <w:sz w:val="22"/>
          <w:szCs w:val="22"/>
          <w:lang w:eastAsia="en-US"/>
        </w:rPr>
      </w:pPr>
      <w:r w:rsidRPr="00B303E3">
        <w:rPr>
          <w:rFonts w:ascii="Palatino Linotype" w:eastAsia="Calibri" w:hAnsi="Palatino Linotype" w:cs="Tahoma"/>
          <w:bCs/>
          <w:sz w:val="22"/>
          <w:szCs w:val="22"/>
          <w:lang w:eastAsia="en-US"/>
        </w:rPr>
        <w:t xml:space="preserve">Al respecto, el artículo 20 de la </w:t>
      </w:r>
      <w:r w:rsidRPr="00B303E3">
        <w:rPr>
          <w:rFonts w:ascii="Palatino Linotype" w:eastAsia="Calibri" w:hAnsi="Palatino Linotype" w:cs="Tahoma"/>
          <w:b/>
          <w:bCs/>
          <w:sz w:val="22"/>
          <w:szCs w:val="22"/>
          <w:lang w:eastAsia="en-US"/>
        </w:rPr>
        <w:t>Ley de Trasparencia y Acceso a la Información Pública del Estado de México y Municipios</w:t>
      </w:r>
      <w:r w:rsidRPr="00B303E3">
        <w:rPr>
          <w:rFonts w:ascii="Palatino Linotype" w:eastAsia="Calibri" w:hAnsi="Palatino Linotype" w:cs="Tahoma"/>
          <w:bCs/>
          <w:sz w:val="22"/>
          <w:szCs w:val="22"/>
          <w:lang w:eastAsia="en-US"/>
        </w:rPr>
        <w:t xml:space="preserve">, señala que, </w:t>
      </w:r>
      <w:r w:rsidRPr="00B303E3">
        <w:rPr>
          <w:rFonts w:ascii="Palatino Linotype" w:eastAsia="Calibri" w:hAnsi="Palatino Linotype" w:cs="Tahoma"/>
          <w:b/>
          <w:bCs/>
          <w:sz w:val="22"/>
          <w:szCs w:val="22"/>
          <w:lang w:eastAsia="en-US"/>
        </w:rPr>
        <w:t xml:space="preserve">ante la negativa del acceso a la información </w:t>
      </w:r>
      <w:r w:rsidRPr="00B303E3">
        <w:rPr>
          <w:rFonts w:ascii="Palatino Linotype" w:eastAsia="Calibri" w:hAnsi="Palatino Linotype" w:cs="Tahoma"/>
          <w:bCs/>
          <w:sz w:val="22"/>
          <w:szCs w:val="22"/>
          <w:lang w:eastAsia="en-US"/>
        </w:rPr>
        <w:t xml:space="preserve">o su inexistencia, </w:t>
      </w:r>
      <w:r w:rsidRPr="00B303E3">
        <w:rPr>
          <w:rFonts w:ascii="Palatino Linotype" w:eastAsia="Calibri" w:hAnsi="Palatino Linotype" w:cs="Tahoma"/>
          <w:b/>
          <w:bCs/>
          <w:sz w:val="22"/>
          <w:szCs w:val="22"/>
          <w:lang w:eastAsia="en-US"/>
        </w:rPr>
        <w:t xml:space="preserve">el </w:t>
      </w:r>
      <w:r w:rsidR="007C2786">
        <w:rPr>
          <w:rFonts w:ascii="Palatino Linotype" w:eastAsia="Calibri" w:hAnsi="Palatino Linotype" w:cs="Tahoma"/>
          <w:b/>
          <w:bCs/>
          <w:sz w:val="22"/>
          <w:szCs w:val="22"/>
          <w:lang w:eastAsia="en-US"/>
        </w:rPr>
        <w:t>S</w:t>
      </w:r>
      <w:r w:rsidR="007C2786" w:rsidRPr="00B303E3">
        <w:rPr>
          <w:rFonts w:ascii="Palatino Linotype" w:eastAsia="Calibri" w:hAnsi="Palatino Linotype" w:cs="Tahoma"/>
          <w:b/>
          <w:bCs/>
          <w:sz w:val="22"/>
          <w:szCs w:val="22"/>
          <w:lang w:eastAsia="en-US"/>
        </w:rPr>
        <w:t xml:space="preserve">ujeto </w:t>
      </w:r>
      <w:r w:rsidR="007C2786">
        <w:rPr>
          <w:rFonts w:ascii="Palatino Linotype" w:eastAsia="Calibri" w:hAnsi="Palatino Linotype" w:cs="Tahoma"/>
          <w:b/>
          <w:bCs/>
          <w:sz w:val="22"/>
          <w:szCs w:val="22"/>
          <w:lang w:eastAsia="en-US"/>
        </w:rPr>
        <w:t>O</w:t>
      </w:r>
      <w:r w:rsidR="007C2786" w:rsidRPr="00B303E3">
        <w:rPr>
          <w:rFonts w:ascii="Palatino Linotype" w:eastAsia="Calibri" w:hAnsi="Palatino Linotype" w:cs="Tahoma"/>
          <w:b/>
          <w:bCs/>
          <w:sz w:val="22"/>
          <w:szCs w:val="22"/>
          <w:lang w:eastAsia="en-US"/>
        </w:rPr>
        <w:t xml:space="preserve">bligado </w:t>
      </w:r>
      <w:r w:rsidRPr="00B303E3">
        <w:rPr>
          <w:rFonts w:ascii="Palatino Linotype" w:eastAsia="Calibri" w:hAnsi="Palatino Linotype" w:cs="Tahoma"/>
          <w:b/>
          <w:bCs/>
          <w:sz w:val="22"/>
          <w:szCs w:val="22"/>
          <w:lang w:eastAsia="en-US"/>
        </w:rPr>
        <w:t xml:space="preserve">deberá demostrar que la información solicitada está prevista en alguna de las excepciones contenidas en esta Ley o, en su caso, demostrar que </w:t>
      </w:r>
      <w:bookmarkStart w:id="0" w:name="_Hlk531116585"/>
      <w:r w:rsidRPr="00B303E3">
        <w:rPr>
          <w:rFonts w:ascii="Palatino Linotype" w:eastAsia="Calibri" w:hAnsi="Palatino Linotype" w:cs="Tahoma"/>
          <w:b/>
          <w:bCs/>
          <w:sz w:val="22"/>
          <w:szCs w:val="22"/>
          <w:lang w:eastAsia="en-US"/>
        </w:rPr>
        <w:t>la información no se refiere a alguna de sus facultades, competencias o funciones</w:t>
      </w:r>
      <w:bookmarkEnd w:id="0"/>
      <w:r w:rsidRPr="00B303E3">
        <w:rPr>
          <w:rFonts w:ascii="Palatino Linotype" w:eastAsia="Calibri" w:hAnsi="Palatino Linotype" w:cs="Tahoma"/>
          <w:b/>
          <w:bCs/>
          <w:sz w:val="22"/>
          <w:szCs w:val="22"/>
          <w:lang w:eastAsia="en-US"/>
        </w:rPr>
        <w:t>.</w:t>
      </w:r>
    </w:p>
    <w:p w:rsidR="00B303E3" w:rsidRPr="00B303E3" w:rsidRDefault="00B303E3" w:rsidP="00B303E3">
      <w:pPr>
        <w:spacing w:line="360" w:lineRule="auto"/>
        <w:jc w:val="both"/>
        <w:rPr>
          <w:rFonts w:ascii="Palatino Linotype" w:eastAsia="Calibri" w:hAnsi="Palatino Linotype" w:cs="Tahoma"/>
          <w:bCs/>
          <w:sz w:val="22"/>
          <w:szCs w:val="22"/>
          <w:lang w:eastAsia="en-US"/>
        </w:rPr>
      </w:pPr>
    </w:p>
    <w:p w:rsidR="00B303E3" w:rsidRPr="00B303E3" w:rsidRDefault="00B303E3" w:rsidP="00B303E3">
      <w:pPr>
        <w:spacing w:line="360" w:lineRule="auto"/>
        <w:jc w:val="both"/>
        <w:rPr>
          <w:rFonts w:ascii="Palatino Linotype" w:eastAsia="Calibri" w:hAnsi="Palatino Linotype" w:cs="Tahoma"/>
          <w:bCs/>
          <w:sz w:val="22"/>
          <w:szCs w:val="22"/>
          <w:lang w:eastAsia="en-US"/>
        </w:rPr>
      </w:pPr>
      <w:r w:rsidRPr="00B303E3">
        <w:rPr>
          <w:rFonts w:ascii="Palatino Linotype" w:eastAsia="Calibri" w:hAnsi="Palatino Linotype" w:cs="Tahoma"/>
          <w:bCs/>
          <w:sz w:val="22"/>
          <w:szCs w:val="22"/>
          <w:lang w:eastAsia="en-US"/>
        </w:rPr>
        <w:t xml:space="preserve">Por su parte, el artículo 131 de la misma Ley, indica que la prueba para justificar </w:t>
      </w:r>
      <w:r w:rsidRPr="00B303E3">
        <w:rPr>
          <w:rFonts w:ascii="Palatino Linotype" w:eastAsia="Calibri" w:hAnsi="Palatino Linotype" w:cs="Tahoma"/>
          <w:b/>
          <w:bCs/>
          <w:sz w:val="22"/>
          <w:szCs w:val="22"/>
          <w:lang w:eastAsia="en-US"/>
        </w:rPr>
        <w:t>toda negativa de acceso a la información, por actualizarse cualquiera de los supuestos de clasificación</w:t>
      </w:r>
      <w:r w:rsidRPr="00B303E3">
        <w:rPr>
          <w:rFonts w:ascii="Palatino Linotype" w:eastAsia="Calibri" w:hAnsi="Palatino Linotype" w:cs="Tahoma"/>
          <w:bCs/>
          <w:sz w:val="22"/>
          <w:szCs w:val="22"/>
          <w:lang w:eastAsia="en-US"/>
        </w:rPr>
        <w:t xml:space="preserve"> previstos en esta Ley corresponderá a los sujetos obligados.</w:t>
      </w:r>
    </w:p>
    <w:p w:rsidR="00B303E3" w:rsidRPr="00B303E3" w:rsidRDefault="00B303E3" w:rsidP="00B303E3">
      <w:pPr>
        <w:spacing w:line="360" w:lineRule="auto"/>
        <w:jc w:val="both"/>
        <w:rPr>
          <w:rFonts w:ascii="Palatino Linotype" w:eastAsia="Calibri" w:hAnsi="Palatino Linotype" w:cs="Tahoma"/>
          <w:bCs/>
          <w:sz w:val="22"/>
          <w:szCs w:val="22"/>
          <w:lang w:eastAsia="en-US"/>
        </w:rPr>
      </w:pPr>
    </w:p>
    <w:p w:rsidR="00B303E3" w:rsidRPr="00B303E3" w:rsidRDefault="00B303E3" w:rsidP="00B303E3">
      <w:pPr>
        <w:spacing w:line="360" w:lineRule="auto"/>
        <w:jc w:val="both"/>
        <w:rPr>
          <w:rFonts w:ascii="Palatino Linotype" w:eastAsia="Calibri" w:hAnsi="Palatino Linotype" w:cs="Tahoma"/>
          <w:bCs/>
          <w:sz w:val="22"/>
          <w:szCs w:val="22"/>
          <w:lang w:eastAsia="en-US"/>
        </w:rPr>
      </w:pPr>
      <w:r w:rsidRPr="00B303E3">
        <w:rPr>
          <w:rFonts w:ascii="Palatino Linotype" w:eastAsia="Calibri" w:hAnsi="Palatino Linotype" w:cs="Tahoma"/>
          <w:bCs/>
          <w:sz w:val="22"/>
          <w:szCs w:val="22"/>
          <w:lang w:eastAsia="en-US"/>
        </w:rPr>
        <w:t xml:space="preserve">Por otro lado, el artículo 172 de la citada Ley de Transparencia y Acceso a la Información Pública del Estado de México y Municipios, refiere que </w:t>
      </w:r>
      <w:r w:rsidRPr="00B303E3">
        <w:rPr>
          <w:rFonts w:ascii="Palatino Linotype" w:eastAsia="Calibri" w:hAnsi="Palatino Linotype" w:cs="Tahoma"/>
          <w:b/>
          <w:bCs/>
          <w:sz w:val="22"/>
          <w:szCs w:val="22"/>
          <w:lang w:eastAsia="en-US"/>
        </w:rPr>
        <w:t>aquella información asequible  mediante un trámite previamente establecido y previsto en una norma deberá obtenerse por dicha vía</w:t>
      </w:r>
      <w:r w:rsidRPr="00B303E3">
        <w:rPr>
          <w:rFonts w:ascii="Palatino Linotype" w:eastAsia="Calibri" w:hAnsi="Palatino Linotype" w:cs="Tahoma"/>
          <w:bCs/>
          <w:sz w:val="22"/>
          <w:szCs w:val="22"/>
          <w:lang w:eastAsia="en-US"/>
        </w:rPr>
        <w:t xml:space="preserve">, en ese sentido, el Sujeto Obligado que recibió la solicitud de información debe orientar al particular para tal efecto, ya que </w:t>
      </w:r>
      <w:r w:rsidRPr="00B303E3">
        <w:rPr>
          <w:rFonts w:ascii="Palatino Linotype" w:eastAsia="Calibri" w:hAnsi="Palatino Linotype" w:cs="Tahoma"/>
          <w:b/>
          <w:bCs/>
          <w:sz w:val="22"/>
          <w:szCs w:val="22"/>
          <w:lang w:eastAsia="en-US"/>
        </w:rPr>
        <w:t xml:space="preserve">los argumentos para justificar cualquier negativa de acceso a la información deben recaer en el </w:t>
      </w:r>
      <w:r w:rsidR="00F83359">
        <w:rPr>
          <w:rFonts w:ascii="Palatino Linotype" w:eastAsia="Calibri" w:hAnsi="Palatino Linotype" w:cs="Tahoma"/>
          <w:b/>
          <w:bCs/>
          <w:sz w:val="22"/>
          <w:szCs w:val="22"/>
          <w:lang w:eastAsia="en-US"/>
        </w:rPr>
        <w:t>S</w:t>
      </w:r>
      <w:r w:rsidR="00F83359" w:rsidRPr="00B303E3">
        <w:rPr>
          <w:rFonts w:ascii="Palatino Linotype" w:eastAsia="Calibri" w:hAnsi="Palatino Linotype" w:cs="Tahoma"/>
          <w:b/>
          <w:bCs/>
          <w:sz w:val="22"/>
          <w:szCs w:val="22"/>
          <w:lang w:eastAsia="en-US"/>
        </w:rPr>
        <w:t xml:space="preserve">ujeto </w:t>
      </w:r>
      <w:r w:rsidR="00F83359">
        <w:rPr>
          <w:rFonts w:ascii="Palatino Linotype" w:eastAsia="Calibri" w:hAnsi="Palatino Linotype" w:cs="Tahoma"/>
          <w:b/>
          <w:bCs/>
          <w:sz w:val="22"/>
          <w:szCs w:val="22"/>
          <w:lang w:eastAsia="en-US"/>
        </w:rPr>
        <w:t>O</w:t>
      </w:r>
      <w:r w:rsidR="00F83359" w:rsidRPr="00B303E3">
        <w:rPr>
          <w:rFonts w:ascii="Palatino Linotype" w:eastAsia="Calibri" w:hAnsi="Palatino Linotype" w:cs="Tahoma"/>
          <w:b/>
          <w:bCs/>
          <w:sz w:val="22"/>
          <w:szCs w:val="22"/>
          <w:lang w:eastAsia="en-US"/>
        </w:rPr>
        <w:t>bligado</w:t>
      </w:r>
      <w:r w:rsidR="00F83359" w:rsidRPr="00B303E3">
        <w:rPr>
          <w:rFonts w:ascii="Palatino Linotype" w:eastAsia="Calibri" w:hAnsi="Palatino Linotype" w:cs="Tahoma"/>
          <w:bCs/>
          <w:sz w:val="22"/>
          <w:szCs w:val="22"/>
          <w:lang w:eastAsia="en-US"/>
        </w:rPr>
        <w:t xml:space="preserve"> </w:t>
      </w:r>
      <w:r w:rsidRPr="00B303E3">
        <w:rPr>
          <w:rFonts w:ascii="Palatino Linotype" w:eastAsia="Calibri" w:hAnsi="Palatino Linotype" w:cs="Tahoma"/>
          <w:bCs/>
          <w:sz w:val="22"/>
          <w:szCs w:val="22"/>
          <w:lang w:eastAsia="en-US"/>
        </w:rPr>
        <w:t>al cual la información fue solicitada.</w:t>
      </w:r>
    </w:p>
    <w:p w:rsidR="00B303E3" w:rsidRPr="00B303E3" w:rsidRDefault="00B303E3" w:rsidP="00B303E3">
      <w:pPr>
        <w:spacing w:line="360" w:lineRule="auto"/>
        <w:jc w:val="both"/>
        <w:rPr>
          <w:rFonts w:ascii="Palatino Linotype" w:eastAsia="Calibri" w:hAnsi="Palatino Linotype" w:cs="Tahoma"/>
          <w:bCs/>
          <w:sz w:val="22"/>
          <w:szCs w:val="22"/>
          <w:lang w:eastAsia="en-US"/>
        </w:rPr>
      </w:pPr>
    </w:p>
    <w:p w:rsidR="00B303E3" w:rsidRPr="00B303E3" w:rsidRDefault="00B303E3" w:rsidP="00B303E3">
      <w:pPr>
        <w:spacing w:line="360" w:lineRule="auto"/>
        <w:jc w:val="both"/>
        <w:rPr>
          <w:rFonts w:ascii="Palatino Linotype" w:eastAsia="Calibri" w:hAnsi="Palatino Linotype" w:cs="Tahoma"/>
          <w:bCs/>
          <w:sz w:val="22"/>
          <w:szCs w:val="22"/>
          <w:lang w:eastAsia="en-US"/>
        </w:rPr>
      </w:pPr>
      <w:r w:rsidRPr="00B303E3">
        <w:rPr>
          <w:rFonts w:ascii="Palatino Linotype" w:eastAsia="Calibri" w:hAnsi="Palatino Linotype" w:cs="Tahoma"/>
          <w:bCs/>
          <w:sz w:val="22"/>
          <w:szCs w:val="22"/>
          <w:lang w:eastAsia="en-US"/>
        </w:rPr>
        <w:t xml:space="preserve">Por tanto, de una interpretación sistemática de las normas referidas, es posible colegir que </w:t>
      </w:r>
      <w:r w:rsidRPr="00B303E3">
        <w:rPr>
          <w:rFonts w:ascii="Palatino Linotype" w:eastAsia="Calibri" w:hAnsi="Palatino Linotype" w:cs="Tahoma"/>
          <w:b/>
          <w:bCs/>
          <w:sz w:val="22"/>
          <w:szCs w:val="22"/>
          <w:lang w:eastAsia="en-US"/>
        </w:rPr>
        <w:t>la negativa de la información debe entenderse</w:t>
      </w:r>
      <w:r w:rsidRPr="00B303E3">
        <w:rPr>
          <w:rFonts w:ascii="Palatino Linotype" w:eastAsia="Calibri" w:hAnsi="Palatino Linotype" w:cs="Tahoma"/>
          <w:bCs/>
          <w:sz w:val="22"/>
          <w:szCs w:val="22"/>
          <w:lang w:eastAsia="en-US"/>
        </w:rPr>
        <w:t>, en materia de transparencia, como:</w:t>
      </w:r>
    </w:p>
    <w:p w:rsidR="00B303E3" w:rsidRPr="00B303E3" w:rsidRDefault="00B303E3" w:rsidP="00B303E3">
      <w:pPr>
        <w:spacing w:line="360" w:lineRule="auto"/>
        <w:jc w:val="both"/>
        <w:rPr>
          <w:rFonts w:ascii="Palatino Linotype" w:eastAsia="Calibri" w:hAnsi="Palatino Linotype" w:cs="Tahoma"/>
          <w:bCs/>
          <w:sz w:val="22"/>
          <w:szCs w:val="22"/>
          <w:lang w:eastAsia="en-US"/>
        </w:rPr>
      </w:pPr>
    </w:p>
    <w:p w:rsidR="00B303E3" w:rsidRPr="00B303E3" w:rsidRDefault="00B303E3" w:rsidP="00B303E3">
      <w:pPr>
        <w:numPr>
          <w:ilvl w:val="0"/>
          <w:numId w:val="34"/>
        </w:numPr>
        <w:spacing w:line="360" w:lineRule="auto"/>
        <w:contextualSpacing/>
        <w:jc w:val="both"/>
        <w:rPr>
          <w:rFonts w:ascii="Palatino Linotype" w:eastAsia="Calibri" w:hAnsi="Palatino Linotype" w:cs="Tahoma"/>
          <w:b/>
          <w:bCs/>
          <w:sz w:val="22"/>
          <w:szCs w:val="22"/>
          <w:lang w:eastAsia="en-US"/>
        </w:rPr>
      </w:pPr>
      <w:r w:rsidRPr="00B303E3">
        <w:rPr>
          <w:rFonts w:ascii="Palatino Linotype" w:eastAsia="Calibri" w:hAnsi="Palatino Linotype" w:cs="Tahoma"/>
          <w:b/>
          <w:bCs/>
          <w:sz w:val="22"/>
          <w:szCs w:val="22"/>
          <w:lang w:eastAsia="en-US"/>
        </w:rPr>
        <w:t xml:space="preserve">La clasificación de la información solicitada </w:t>
      </w:r>
    </w:p>
    <w:p w:rsidR="00B303E3" w:rsidRPr="00B303E3" w:rsidRDefault="00B303E3" w:rsidP="00B303E3">
      <w:pPr>
        <w:numPr>
          <w:ilvl w:val="0"/>
          <w:numId w:val="34"/>
        </w:numPr>
        <w:spacing w:line="360" w:lineRule="auto"/>
        <w:contextualSpacing/>
        <w:jc w:val="both"/>
        <w:rPr>
          <w:rFonts w:ascii="Palatino Linotype" w:eastAsia="Calibri" w:hAnsi="Palatino Linotype" w:cs="Tahoma"/>
          <w:b/>
          <w:bCs/>
          <w:sz w:val="22"/>
          <w:szCs w:val="22"/>
          <w:lang w:eastAsia="en-US"/>
        </w:rPr>
      </w:pPr>
      <w:r w:rsidRPr="00B303E3">
        <w:rPr>
          <w:rFonts w:ascii="Palatino Linotype" w:eastAsia="Calibri" w:hAnsi="Palatino Linotype" w:cs="Tahoma"/>
          <w:b/>
          <w:bCs/>
          <w:sz w:val="22"/>
          <w:szCs w:val="22"/>
          <w:lang w:eastAsia="en-US"/>
        </w:rPr>
        <w:t>La información que no se refiere a alguna de las facultades, competencias o funciones del Sujeto Obligado y, por tanto, no obra en sus archivos; o</w:t>
      </w:r>
    </w:p>
    <w:p w:rsidR="00B303E3" w:rsidRPr="00B303E3" w:rsidRDefault="00B303E3" w:rsidP="00B303E3">
      <w:pPr>
        <w:numPr>
          <w:ilvl w:val="0"/>
          <w:numId w:val="34"/>
        </w:numPr>
        <w:spacing w:line="360" w:lineRule="auto"/>
        <w:contextualSpacing/>
        <w:jc w:val="both"/>
        <w:rPr>
          <w:rFonts w:ascii="Palatino Linotype" w:eastAsia="Calibri" w:hAnsi="Palatino Linotype" w:cs="Tahoma"/>
          <w:b/>
          <w:bCs/>
          <w:sz w:val="22"/>
          <w:szCs w:val="22"/>
          <w:lang w:eastAsia="en-US"/>
        </w:rPr>
      </w:pPr>
      <w:r w:rsidRPr="00B303E3">
        <w:rPr>
          <w:rFonts w:ascii="Palatino Linotype" w:eastAsia="Calibri" w:hAnsi="Palatino Linotype" w:cs="Tahoma"/>
          <w:b/>
          <w:bCs/>
          <w:sz w:val="22"/>
          <w:szCs w:val="22"/>
          <w:lang w:eastAsia="en-US"/>
        </w:rPr>
        <w:t>La remisión a un trámite especifico previsto por las normas para obtener la información requerida</w:t>
      </w:r>
    </w:p>
    <w:p w:rsidR="00B303E3" w:rsidRPr="00B303E3" w:rsidRDefault="00B303E3" w:rsidP="00B303E3">
      <w:pPr>
        <w:spacing w:line="360" w:lineRule="auto"/>
        <w:jc w:val="both"/>
        <w:rPr>
          <w:rFonts w:ascii="Palatino Linotype" w:eastAsia="Calibri" w:hAnsi="Palatino Linotype" w:cs="Tahoma"/>
          <w:bCs/>
          <w:sz w:val="22"/>
          <w:szCs w:val="22"/>
          <w:lang w:eastAsia="en-US"/>
        </w:rPr>
      </w:pPr>
    </w:p>
    <w:p w:rsidR="00B303E3" w:rsidRPr="00583243" w:rsidRDefault="00B303E3" w:rsidP="00B303E3">
      <w:pPr>
        <w:spacing w:line="360" w:lineRule="auto"/>
        <w:jc w:val="both"/>
        <w:rPr>
          <w:rFonts w:ascii="Palatino Linotype" w:eastAsia="Calibri" w:hAnsi="Palatino Linotype" w:cs="Tahoma"/>
          <w:b/>
          <w:bCs/>
          <w:sz w:val="22"/>
          <w:szCs w:val="22"/>
          <w:lang w:eastAsia="en-US"/>
        </w:rPr>
      </w:pPr>
      <w:r w:rsidRPr="00B303E3">
        <w:rPr>
          <w:rFonts w:ascii="Palatino Linotype" w:eastAsia="Calibri" w:hAnsi="Palatino Linotype" w:cs="Tahoma"/>
          <w:bCs/>
          <w:sz w:val="22"/>
          <w:szCs w:val="22"/>
          <w:lang w:eastAsia="en-US"/>
        </w:rPr>
        <w:t xml:space="preserve">Por tanto, cuando el ahora recurrente se inconforma con la negativa de la información, debe entenderse que se refiere a </w:t>
      </w:r>
      <w:r>
        <w:rPr>
          <w:rFonts w:ascii="Palatino Linotype" w:eastAsia="Calibri" w:hAnsi="Palatino Linotype" w:cs="Tahoma"/>
          <w:bCs/>
          <w:sz w:val="22"/>
          <w:szCs w:val="22"/>
          <w:lang w:eastAsia="en-US"/>
        </w:rPr>
        <w:t>aquella parte</w:t>
      </w:r>
      <w:r w:rsidRPr="00B303E3">
        <w:rPr>
          <w:rFonts w:ascii="Palatino Linotype" w:eastAsia="Calibri" w:hAnsi="Palatino Linotype" w:cs="Tahoma"/>
          <w:bCs/>
          <w:sz w:val="22"/>
          <w:szCs w:val="22"/>
          <w:lang w:eastAsia="en-US"/>
        </w:rPr>
        <w:t xml:space="preserve"> de la respuesta otorga</w:t>
      </w:r>
      <w:r>
        <w:rPr>
          <w:rFonts w:ascii="Palatino Linotype" w:eastAsia="Calibri" w:hAnsi="Palatino Linotype" w:cs="Tahoma"/>
          <w:bCs/>
          <w:sz w:val="22"/>
          <w:szCs w:val="22"/>
          <w:lang w:eastAsia="en-US"/>
        </w:rPr>
        <w:t>da por el Sujeto Obligado donde</w:t>
      </w:r>
      <w:r w:rsidRPr="00B303E3">
        <w:rPr>
          <w:rFonts w:ascii="Palatino Linotype" w:eastAsia="Calibri" w:hAnsi="Palatino Linotype" w:cs="Tahoma"/>
          <w:bCs/>
          <w:sz w:val="22"/>
          <w:szCs w:val="22"/>
          <w:lang w:eastAsia="en-US"/>
        </w:rPr>
        <w:t xml:space="preserve"> refiere que </w:t>
      </w:r>
      <w:r w:rsidRPr="00583243">
        <w:rPr>
          <w:rFonts w:ascii="Palatino Linotype" w:eastAsia="Calibri" w:hAnsi="Palatino Linotype" w:cs="Tahoma"/>
          <w:b/>
          <w:bCs/>
          <w:sz w:val="22"/>
          <w:szCs w:val="22"/>
          <w:lang w:eastAsia="en-US"/>
        </w:rPr>
        <w:t>el Ayuntamiento no concentra la información de la manera en que fue solicitada.</w:t>
      </w:r>
    </w:p>
    <w:p w:rsidR="006E3C12" w:rsidRDefault="006E3C12" w:rsidP="00EF7AFC">
      <w:pPr>
        <w:spacing w:line="360" w:lineRule="auto"/>
        <w:jc w:val="both"/>
        <w:rPr>
          <w:rFonts w:ascii="Palatino Linotype" w:eastAsia="Calibri" w:hAnsi="Palatino Linotype" w:cs="Tahoma"/>
          <w:bCs/>
          <w:sz w:val="22"/>
          <w:szCs w:val="22"/>
          <w:lang w:eastAsia="en-US"/>
        </w:rPr>
      </w:pPr>
    </w:p>
    <w:p w:rsidR="00B303E3" w:rsidRDefault="00B303E3" w:rsidP="00B303E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pues, lo consiguiente es analizar la normatividad aplicable al Sujeto Obligado en materia de obras públicas, con la finalidad de determinar si cuenta con </w:t>
      </w:r>
      <w:r w:rsidRPr="00B303E3">
        <w:rPr>
          <w:rFonts w:ascii="Palatino Linotype" w:eastAsia="Calibri" w:hAnsi="Palatino Linotype" w:cs="Tahoma"/>
          <w:bCs/>
          <w:sz w:val="22"/>
          <w:szCs w:val="22"/>
          <w:lang w:eastAsia="en-US"/>
        </w:rPr>
        <w:t>facultades, competencias o funciones</w:t>
      </w:r>
      <w:r>
        <w:rPr>
          <w:rFonts w:ascii="Palatino Linotype" w:eastAsia="Calibri" w:hAnsi="Palatino Linotype" w:cs="Tahoma"/>
          <w:bCs/>
          <w:sz w:val="22"/>
          <w:szCs w:val="22"/>
          <w:lang w:eastAsia="en-US"/>
        </w:rPr>
        <w:t xml:space="preserve"> para poseer lo relativo a: </w:t>
      </w:r>
      <w:bookmarkStart w:id="1" w:name="_Hlk531218820"/>
      <w:r>
        <w:rPr>
          <w:rFonts w:ascii="Palatino Linotype" w:eastAsia="Calibri" w:hAnsi="Palatino Linotype" w:cs="Tahoma"/>
          <w:bCs/>
          <w:sz w:val="22"/>
          <w:szCs w:val="22"/>
          <w:lang w:eastAsia="en-US"/>
        </w:rPr>
        <w:t>l</w:t>
      </w:r>
      <w:r w:rsidRPr="00B303E3">
        <w:rPr>
          <w:rFonts w:ascii="Palatino Linotype" w:eastAsia="Calibri" w:hAnsi="Palatino Linotype" w:cs="Tahoma"/>
          <w:bCs/>
          <w:sz w:val="22"/>
          <w:szCs w:val="22"/>
          <w:lang w:eastAsia="en-US"/>
        </w:rPr>
        <w:t>a cantidad de recursos destinados a la reparación y repavimentación de las Avenidas Paseos del Alba, de los Fresnos y Dr. Jorge Jim</w:t>
      </w:r>
      <w:r>
        <w:rPr>
          <w:rFonts w:ascii="Palatino Linotype" w:eastAsia="Calibri" w:hAnsi="Palatino Linotype" w:cs="Tahoma"/>
          <w:bCs/>
          <w:sz w:val="22"/>
          <w:szCs w:val="22"/>
          <w:lang w:eastAsia="en-US"/>
        </w:rPr>
        <w:t>énez Cantú, en el presente año; e</w:t>
      </w:r>
      <w:r w:rsidRPr="00B303E3">
        <w:rPr>
          <w:rFonts w:ascii="Palatino Linotype" w:eastAsia="Calibri" w:hAnsi="Palatino Linotype" w:cs="Tahoma"/>
          <w:bCs/>
          <w:sz w:val="22"/>
          <w:szCs w:val="22"/>
          <w:lang w:eastAsia="en-US"/>
        </w:rPr>
        <w:t>l tipo de material con el que s</w:t>
      </w:r>
      <w:r>
        <w:rPr>
          <w:rFonts w:ascii="Palatino Linotype" w:eastAsia="Calibri" w:hAnsi="Palatino Linotype" w:cs="Tahoma"/>
          <w:bCs/>
          <w:sz w:val="22"/>
          <w:szCs w:val="22"/>
          <w:lang w:eastAsia="en-US"/>
        </w:rPr>
        <w:t xml:space="preserve">e ha efectuado la reparación; </w:t>
      </w:r>
      <w:r w:rsidR="000C649E">
        <w:rPr>
          <w:rFonts w:ascii="Palatino Linotype" w:eastAsia="Calibri" w:hAnsi="Palatino Linotype" w:cs="Tahoma"/>
          <w:bCs/>
          <w:sz w:val="22"/>
          <w:szCs w:val="22"/>
          <w:lang w:eastAsia="en-US"/>
        </w:rPr>
        <w:t>así como</w:t>
      </w:r>
      <w:r>
        <w:rPr>
          <w:rFonts w:ascii="Palatino Linotype" w:eastAsia="Calibri" w:hAnsi="Palatino Linotype" w:cs="Tahoma"/>
          <w:bCs/>
          <w:sz w:val="22"/>
          <w:szCs w:val="22"/>
          <w:lang w:eastAsia="en-US"/>
        </w:rPr>
        <w:t xml:space="preserve"> l</w:t>
      </w:r>
      <w:r w:rsidRPr="00B303E3">
        <w:rPr>
          <w:rFonts w:ascii="Palatino Linotype" w:eastAsia="Calibri" w:hAnsi="Palatino Linotype" w:cs="Tahoma"/>
          <w:bCs/>
          <w:sz w:val="22"/>
          <w:szCs w:val="22"/>
          <w:lang w:eastAsia="en-US"/>
        </w:rPr>
        <w:t>a ficha técnica de las obras referidas.</w:t>
      </w:r>
    </w:p>
    <w:bookmarkEnd w:id="1"/>
    <w:p w:rsidR="00B303E3" w:rsidRDefault="00B303E3" w:rsidP="00EF7AFC">
      <w:pPr>
        <w:spacing w:line="360" w:lineRule="auto"/>
        <w:jc w:val="both"/>
        <w:rPr>
          <w:rFonts w:ascii="Palatino Linotype" w:eastAsia="Calibri" w:hAnsi="Palatino Linotype" w:cs="Tahoma"/>
          <w:bCs/>
          <w:sz w:val="22"/>
          <w:szCs w:val="22"/>
          <w:lang w:eastAsia="en-US"/>
        </w:rPr>
      </w:pPr>
    </w:p>
    <w:p w:rsidR="00B303E3" w:rsidRDefault="00C372A0"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Para empezar, el artículo 115, fracciones III, inciso g, y IV, de la </w:t>
      </w:r>
      <w:r w:rsidRPr="00471F77">
        <w:rPr>
          <w:rFonts w:ascii="Palatino Linotype" w:eastAsia="Calibri" w:hAnsi="Palatino Linotype" w:cs="Tahoma"/>
          <w:b/>
          <w:bCs/>
          <w:sz w:val="22"/>
          <w:szCs w:val="22"/>
          <w:lang w:eastAsia="en-US"/>
        </w:rPr>
        <w:t>Constitución de los Estados Unidos Mexicanos</w:t>
      </w:r>
      <w:r>
        <w:rPr>
          <w:rFonts w:ascii="Palatino Linotype" w:eastAsia="Calibri" w:hAnsi="Palatino Linotype" w:cs="Tahoma"/>
          <w:bCs/>
          <w:sz w:val="22"/>
          <w:szCs w:val="22"/>
          <w:lang w:eastAsia="en-US"/>
        </w:rPr>
        <w:t>, mandata, que los municipios tendrán a su cargo las calles, parques y jardines y su equipamiento, así como la administración libre de su hacienda pública.</w:t>
      </w:r>
    </w:p>
    <w:p w:rsidR="00C372A0" w:rsidRDefault="00C372A0" w:rsidP="00EF7AFC">
      <w:pPr>
        <w:spacing w:line="360" w:lineRule="auto"/>
        <w:jc w:val="both"/>
        <w:rPr>
          <w:rFonts w:ascii="Palatino Linotype" w:eastAsia="Calibri" w:hAnsi="Palatino Linotype" w:cs="Tahoma"/>
          <w:bCs/>
          <w:sz w:val="22"/>
          <w:szCs w:val="22"/>
          <w:lang w:eastAsia="en-US"/>
        </w:rPr>
      </w:pPr>
    </w:p>
    <w:p w:rsidR="00C372A0" w:rsidRDefault="00583243" w:rsidP="0058324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sentido, el artículo 122 de la </w:t>
      </w:r>
      <w:r w:rsidRPr="00471F77">
        <w:rPr>
          <w:rFonts w:ascii="Palatino Linotype" w:eastAsia="Calibri" w:hAnsi="Palatino Linotype" w:cs="Tahoma"/>
          <w:b/>
          <w:bCs/>
          <w:sz w:val="22"/>
          <w:szCs w:val="22"/>
          <w:lang w:eastAsia="en-US"/>
        </w:rPr>
        <w:t>Constitución Política del Estado Libre y Soberano de México</w:t>
      </w:r>
      <w:r>
        <w:rPr>
          <w:rFonts w:ascii="Palatino Linotype" w:eastAsia="Calibri" w:hAnsi="Palatino Linotype" w:cs="Tahoma"/>
          <w:bCs/>
          <w:sz w:val="22"/>
          <w:szCs w:val="22"/>
          <w:lang w:eastAsia="en-US"/>
        </w:rPr>
        <w:t xml:space="preserve">, reitera que los municipios tienen a su cargo las funciones y servicios públicos </w:t>
      </w:r>
      <w:r w:rsidRPr="00583243">
        <w:rPr>
          <w:rFonts w:ascii="Palatino Linotype" w:eastAsia="Calibri" w:hAnsi="Palatino Linotype" w:cs="Tahoma"/>
          <w:bCs/>
          <w:sz w:val="22"/>
          <w:szCs w:val="22"/>
          <w:lang w:eastAsia="en-US"/>
        </w:rPr>
        <w:t>que señala la</w:t>
      </w:r>
      <w:r>
        <w:rPr>
          <w:rFonts w:ascii="Palatino Linotype" w:eastAsia="Calibri" w:hAnsi="Palatino Linotype" w:cs="Tahoma"/>
          <w:bCs/>
          <w:sz w:val="22"/>
          <w:szCs w:val="22"/>
          <w:lang w:eastAsia="en-US"/>
        </w:rPr>
        <w:t xml:space="preserve"> </w:t>
      </w:r>
      <w:r w:rsidRPr="00583243">
        <w:rPr>
          <w:rFonts w:ascii="Palatino Linotype" w:eastAsia="Calibri" w:hAnsi="Palatino Linotype" w:cs="Tahoma"/>
          <w:bCs/>
          <w:sz w:val="22"/>
          <w:szCs w:val="22"/>
          <w:lang w:eastAsia="en-US"/>
        </w:rPr>
        <w:t>fracción III</w:t>
      </w:r>
      <w:r w:rsidR="007618B3">
        <w:rPr>
          <w:rFonts w:ascii="Palatino Linotype" w:eastAsia="Calibri" w:hAnsi="Palatino Linotype" w:cs="Tahoma"/>
          <w:bCs/>
          <w:sz w:val="22"/>
          <w:szCs w:val="22"/>
          <w:lang w:eastAsia="en-US"/>
        </w:rPr>
        <w:t>,</w:t>
      </w:r>
      <w:r w:rsidRPr="00583243">
        <w:rPr>
          <w:rFonts w:ascii="Palatino Linotype" w:eastAsia="Calibri" w:hAnsi="Palatino Linotype" w:cs="Tahoma"/>
          <w:bCs/>
          <w:sz w:val="22"/>
          <w:szCs w:val="22"/>
          <w:lang w:eastAsia="en-US"/>
        </w:rPr>
        <w:t xml:space="preserve"> del artículo 115</w:t>
      </w:r>
      <w:r w:rsidR="007618B3">
        <w:rPr>
          <w:rFonts w:ascii="Palatino Linotype" w:eastAsia="Calibri" w:hAnsi="Palatino Linotype" w:cs="Tahoma"/>
          <w:bCs/>
          <w:sz w:val="22"/>
          <w:szCs w:val="22"/>
          <w:lang w:eastAsia="en-US"/>
        </w:rPr>
        <w:t>,</w:t>
      </w:r>
      <w:r w:rsidRPr="00583243">
        <w:rPr>
          <w:rFonts w:ascii="Palatino Linotype" w:eastAsia="Calibri" w:hAnsi="Palatino Linotype" w:cs="Tahoma"/>
          <w:bCs/>
          <w:sz w:val="22"/>
          <w:szCs w:val="22"/>
          <w:lang w:eastAsia="en-US"/>
        </w:rPr>
        <w:t xml:space="preserve"> de la Constitución Política de los Estados Unidos Mexicanos</w:t>
      </w:r>
      <w:r>
        <w:rPr>
          <w:rFonts w:ascii="Palatino Linotype" w:eastAsia="Calibri" w:hAnsi="Palatino Linotype" w:cs="Tahoma"/>
          <w:bCs/>
          <w:sz w:val="22"/>
          <w:szCs w:val="22"/>
          <w:lang w:eastAsia="en-US"/>
        </w:rPr>
        <w:t>; es decir, las calles, parques</w:t>
      </w:r>
      <w:r w:rsidR="007618B3">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jardines y su equipamiento, así como la administración de su hacienda.</w:t>
      </w:r>
    </w:p>
    <w:p w:rsidR="00583243" w:rsidRDefault="00583243" w:rsidP="00583243">
      <w:pPr>
        <w:spacing w:line="360" w:lineRule="auto"/>
        <w:jc w:val="both"/>
        <w:rPr>
          <w:rFonts w:ascii="Palatino Linotype" w:eastAsia="Calibri" w:hAnsi="Palatino Linotype" w:cs="Tahoma"/>
          <w:bCs/>
          <w:sz w:val="22"/>
          <w:szCs w:val="22"/>
          <w:lang w:eastAsia="en-US"/>
        </w:rPr>
      </w:pPr>
    </w:p>
    <w:p w:rsidR="00583243" w:rsidRDefault="00583243" w:rsidP="00471F7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su parte, </w:t>
      </w:r>
      <w:r w:rsidR="00471F77">
        <w:rPr>
          <w:rFonts w:ascii="Palatino Linotype" w:eastAsia="Calibri" w:hAnsi="Palatino Linotype" w:cs="Tahoma"/>
          <w:bCs/>
          <w:sz w:val="22"/>
          <w:szCs w:val="22"/>
          <w:lang w:eastAsia="en-US"/>
        </w:rPr>
        <w:t xml:space="preserve">el artículo 31, fracciones VIII y XVIII, </w:t>
      </w:r>
      <w:r>
        <w:rPr>
          <w:rFonts w:ascii="Palatino Linotype" w:eastAsia="Calibri" w:hAnsi="Palatino Linotype" w:cs="Tahoma"/>
          <w:bCs/>
          <w:sz w:val="22"/>
          <w:szCs w:val="22"/>
          <w:lang w:eastAsia="en-US"/>
        </w:rPr>
        <w:t xml:space="preserve">la </w:t>
      </w:r>
      <w:r w:rsidR="00471F77" w:rsidRPr="00471F77">
        <w:rPr>
          <w:rFonts w:ascii="Palatino Linotype" w:eastAsia="Calibri" w:hAnsi="Palatino Linotype" w:cs="Tahoma"/>
          <w:b/>
          <w:bCs/>
          <w:sz w:val="22"/>
          <w:szCs w:val="22"/>
          <w:lang w:eastAsia="en-US"/>
        </w:rPr>
        <w:t>Ley Orgánica Municipal del Estado de México</w:t>
      </w:r>
      <w:r w:rsidR="00471F77">
        <w:rPr>
          <w:rFonts w:ascii="Palatino Linotype" w:eastAsia="Calibri" w:hAnsi="Palatino Linotype" w:cs="Tahoma"/>
          <w:bCs/>
          <w:sz w:val="22"/>
          <w:szCs w:val="22"/>
          <w:lang w:eastAsia="en-US"/>
        </w:rPr>
        <w:t>, señala que es atribución del municipio c</w:t>
      </w:r>
      <w:r w:rsidR="00471F77" w:rsidRPr="00471F77">
        <w:rPr>
          <w:rFonts w:ascii="Palatino Linotype" w:eastAsia="Calibri" w:hAnsi="Palatino Linotype" w:cs="Tahoma"/>
          <w:bCs/>
          <w:sz w:val="22"/>
          <w:szCs w:val="22"/>
          <w:lang w:eastAsia="en-US"/>
        </w:rPr>
        <w:t>oncluir las obras iniciadas por administraciones anteriores y dar mantenimiento a</w:t>
      </w:r>
      <w:r w:rsidR="00471F77">
        <w:rPr>
          <w:rFonts w:ascii="Palatino Linotype" w:eastAsia="Calibri" w:hAnsi="Palatino Linotype" w:cs="Tahoma"/>
          <w:bCs/>
          <w:sz w:val="22"/>
          <w:szCs w:val="22"/>
          <w:lang w:eastAsia="en-US"/>
        </w:rPr>
        <w:t xml:space="preserve"> </w:t>
      </w:r>
      <w:r w:rsidR="00471F77" w:rsidRPr="00471F77">
        <w:rPr>
          <w:rFonts w:ascii="Palatino Linotype" w:eastAsia="Calibri" w:hAnsi="Palatino Linotype" w:cs="Tahoma"/>
          <w:bCs/>
          <w:sz w:val="22"/>
          <w:szCs w:val="22"/>
          <w:lang w:eastAsia="en-US"/>
        </w:rPr>
        <w:t>la infraestructura e instalaciones de los servicios públicos municipales;</w:t>
      </w:r>
      <w:r w:rsidR="00471F77">
        <w:rPr>
          <w:rFonts w:ascii="Palatino Linotype" w:eastAsia="Calibri" w:hAnsi="Palatino Linotype" w:cs="Tahoma"/>
          <w:bCs/>
          <w:sz w:val="22"/>
          <w:szCs w:val="22"/>
          <w:lang w:eastAsia="en-US"/>
        </w:rPr>
        <w:t xml:space="preserve"> así como a</w:t>
      </w:r>
      <w:r w:rsidR="00471F77" w:rsidRPr="00471F77">
        <w:rPr>
          <w:rFonts w:ascii="Palatino Linotype" w:eastAsia="Calibri" w:hAnsi="Palatino Linotype" w:cs="Tahoma"/>
          <w:bCs/>
          <w:sz w:val="22"/>
          <w:szCs w:val="22"/>
          <w:lang w:eastAsia="en-US"/>
        </w:rPr>
        <w:t>dministrar su hacienda en términos de ley, y controlar a través del presidente y</w:t>
      </w:r>
      <w:r w:rsidR="00471F77">
        <w:rPr>
          <w:rFonts w:ascii="Palatino Linotype" w:eastAsia="Calibri" w:hAnsi="Palatino Linotype" w:cs="Tahoma"/>
          <w:bCs/>
          <w:sz w:val="22"/>
          <w:szCs w:val="22"/>
          <w:lang w:eastAsia="en-US"/>
        </w:rPr>
        <w:t xml:space="preserve"> </w:t>
      </w:r>
      <w:r w:rsidR="00471F77" w:rsidRPr="00471F77">
        <w:rPr>
          <w:rFonts w:ascii="Palatino Linotype" w:eastAsia="Calibri" w:hAnsi="Palatino Linotype" w:cs="Tahoma"/>
          <w:bCs/>
          <w:sz w:val="22"/>
          <w:szCs w:val="22"/>
          <w:lang w:eastAsia="en-US"/>
        </w:rPr>
        <w:t>síndico la aplicación del presupuesto de egresos del municipio</w:t>
      </w:r>
      <w:r w:rsidR="00471F77">
        <w:rPr>
          <w:rFonts w:ascii="Palatino Linotype" w:eastAsia="Calibri" w:hAnsi="Palatino Linotype" w:cs="Tahoma"/>
          <w:bCs/>
          <w:sz w:val="22"/>
          <w:szCs w:val="22"/>
          <w:lang w:eastAsia="en-US"/>
        </w:rPr>
        <w:t>.</w:t>
      </w:r>
    </w:p>
    <w:p w:rsidR="00471F77" w:rsidRDefault="00471F77" w:rsidP="00471F77">
      <w:pPr>
        <w:spacing w:line="360" w:lineRule="auto"/>
        <w:jc w:val="both"/>
        <w:rPr>
          <w:rFonts w:ascii="Palatino Linotype" w:eastAsia="Calibri" w:hAnsi="Palatino Linotype" w:cs="Tahoma"/>
          <w:bCs/>
          <w:sz w:val="22"/>
          <w:szCs w:val="22"/>
          <w:lang w:eastAsia="en-US"/>
        </w:rPr>
      </w:pPr>
    </w:p>
    <w:p w:rsidR="00471F77" w:rsidRDefault="00471F77" w:rsidP="00F318E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concatenación, los artículos 9</w:t>
      </w:r>
      <w:r w:rsidR="00F318E7">
        <w:rPr>
          <w:rFonts w:ascii="Palatino Linotype" w:eastAsia="Calibri" w:hAnsi="Palatino Linotype" w:cs="Tahoma"/>
          <w:bCs/>
          <w:sz w:val="22"/>
          <w:szCs w:val="22"/>
          <w:lang w:eastAsia="en-US"/>
        </w:rPr>
        <w:t>3, 95, fracción IV, 96 Bis, fracciones IV y IX, de la misma Ley Orgánica Municipal del Estado de México, refieren que los ayuntamientos cuenta</w:t>
      </w:r>
      <w:r w:rsidR="00B200AC">
        <w:rPr>
          <w:rFonts w:ascii="Palatino Linotype" w:eastAsia="Calibri" w:hAnsi="Palatino Linotype" w:cs="Tahoma"/>
          <w:bCs/>
          <w:sz w:val="22"/>
          <w:szCs w:val="22"/>
          <w:lang w:eastAsia="en-US"/>
        </w:rPr>
        <w:t>n</w:t>
      </w:r>
      <w:r w:rsidR="00F318E7">
        <w:rPr>
          <w:rFonts w:ascii="Palatino Linotype" w:eastAsia="Calibri" w:hAnsi="Palatino Linotype" w:cs="Tahoma"/>
          <w:bCs/>
          <w:sz w:val="22"/>
          <w:szCs w:val="22"/>
          <w:lang w:eastAsia="en-US"/>
        </w:rPr>
        <w:t xml:space="preserve"> con una </w:t>
      </w:r>
      <w:r w:rsidR="00F318E7" w:rsidRPr="00AA24D1">
        <w:rPr>
          <w:rFonts w:ascii="Palatino Linotype" w:eastAsia="Calibri" w:hAnsi="Palatino Linotype" w:cs="Tahoma"/>
          <w:b/>
          <w:bCs/>
          <w:sz w:val="22"/>
          <w:szCs w:val="22"/>
          <w:lang w:eastAsia="en-US"/>
        </w:rPr>
        <w:t>Tesorería Municipal y una Dirección de Obras Públicas</w:t>
      </w:r>
      <w:r w:rsidR="00F318E7">
        <w:rPr>
          <w:rFonts w:ascii="Palatino Linotype" w:eastAsia="Calibri" w:hAnsi="Palatino Linotype" w:cs="Tahoma"/>
          <w:bCs/>
          <w:sz w:val="22"/>
          <w:szCs w:val="22"/>
          <w:lang w:eastAsia="en-US"/>
        </w:rPr>
        <w:t xml:space="preserve">, mismas que, respectivamente, se encargan de llevar registros contables, financieros y administrativos de los ingresos, egresos e inventarios, así como de </w:t>
      </w:r>
      <w:r w:rsidR="00B200AC">
        <w:rPr>
          <w:rFonts w:ascii="Palatino Linotype" w:eastAsia="Calibri" w:hAnsi="Palatino Linotype" w:cs="Tahoma"/>
          <w:bCs/>
          <w:sz w:val="22"/>
          <w:szCs w:val="22"/>
          <w:lang w:eastAsia="en-US"/>
        </w:rPr>
        <w:t>a</w:t>
      </w:r>
      <w:r w:rsidR="00F318E7" w:rsidRPr="00F318E7">
        <w:rPr>
          <w:rFonts w:ascii="Palatino Linotype" w:eastAsia="Calibri" w:hAnsi="Palatino Linotype" w:cs="Tahoma"/>
          <w:bCs/>
          <w:sz w:val="22"/>
          <w:szCs w:val="22"/>
          <w:lang w:eastAsia="en-US"/>
        </w:rPr>
        <w:t>dministrar y ejercer, en el ámbito de su competencia, de manera coordinada con los recursos públicos destinados a la planeación, programación,</w:t>
      </w:r>
      <w:r w:rsidR="00B200AC">
        <w:rPr>
          <w:rFonts w:ascii="Palatino Linotype" w:eastAsia="Calibri" w:hAnsi="Palatino Linotype" w:cs="Tahoma"/>
          <w:bCs/>
          <w:sz w:val="22"/>
          <w:szCs w:val="22"/>
          <w:lang w:eastAsia="en-US"/>
        </w:rPr>
        <w:t xml:space="preserve"> </w:t>
      </w:r>
      <w:r w:rsidR="00F318E7" w:rsidRPr="00F318E7">
        <w:rPr>
          <w:rFonts w:ascii="Palatino Linotype" w:eastAsia="Calibri" w:hAnsi="Palatino Linotype" w:cs="Tahoma"/>
          <w:bCs/>
          <w:sz w:val="22"/>
          <w:szCs w:val="22"/>
          <w:lang w:eastAsia="en-US"/>
        </w:rPr>
        <w:t>presupuestación, adjudicación, contratación, ejecución y control de la obra pública</w:t>
      </w:r>
      <w:r w:rsidR="00B200AC">
        <w:rPr>
          <w:rFonts w:ascii="Palatino Linotype" w:eastAsia="Calibri" w:hAnsi="Palatino Linotype" w:cs="Tahoma"/>
          <w:bCs/>
          <w:sz w:val="22"/>
          <w:szCs w:val="22"/>
          <w:lang w:eastAsia="en-US"/>
        </w:rPr>
        <w:t>.</w:t>
      </w:r>
    </w:p>
    <w:p w:rsidR="00C372A0" w:rsidRDefault="00C372A0" w:rsidP="00EF7AFC">
      <w:pPr>
        <w:spacing w:line="360" w:lineRule="auto"/>
        <w:jc w:val="both"/>
        <w:rPr>
          <w:rFonts w:ascii="Palatino Linotype" w:eastAsia="Calibri" w:hAnsi="Palatino Linotype" w:cs="Tahoma"/>
          <w:bCs/>
          <w:sz w:val="22"/>
          <w:szCs w:val="22"/>
          <w:lang w:eastAsia="en-US"/>
        </w:rPr>
      </w:pPr>
    </w:p>
    <w:p w:rsidR="00B200AC" w:rsidRDefault="00B93A57"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otro lado, el artículo 13, fracciones II y III, de la </w:t>
      </w:r>
      <w:r w:rsidRPr="00B93A57">
        <w:rPr>
          <w:rFonts w:ascii="Palatino Linotype" w:eastAsia="Calibri" w:hAnsi="Palatino Linotype" w:cs="Tahoma"/>
          <w:b/>
          <w:bCs/>
          <w:sz w:val="22"/>
          <w:szCs w:val="22"/>
          <w:lang w:eastAsia="en-US"/>
        </w:rPr>
        <w:t>Ley de Obras Públicas del Estado de México</w:t>
      </w:r>
      <w:r>
        <w:rPr>
          <w:rFonts w:ascii="Palatino Linotype" w:eastAsia="Calibri" w:hAnsi="Palatino Linotype" w:cs="Tahoma"/>
          <w:bCs/>
          <w:sz w:val="22"/>
          <w:szCs w:val="22"/>
          <w:lang w:eastAsia="en-US"/>
        </w:rPr>
        <w:t xml:space="preserve">, </w:t>
      </w:r>
      <w:r w:rsidR="007618B3">
        <w:rPr>
          <w:rFonts w:ascii="Palatino Linotype" w:eastAsia="Calibri" w:hAnsi="Palatino Linotype" w:cs="Tahoma"/>
          <w:bCs/>
          <w:sz w:val="22"/>
          <w:szCs w:val="22"/>
          <w:lang w:eastAsia="en-US"/>
        </w:rPr>
        <w:t xml:space="preserve">dispone </w:t>
      </w:r>
      <w:r>
        <w:rPr>
          <w:rFonts w:ascii="Palatino Linotype" w:eastAsia="Calibri" w:hAnsi="Palatino Linotype" w:cs="Tahoma"/>
          <w:bCs/>
          <w:sz w:val="22"/>
          <w:szCs w:val="22"/>
          <w:lang w:eastAsia="en-US"/>
        </w:rPr>
        <w:t xml:space="preserve">que los Ayuntamientos tienen la obligación de elaborar los Programas de Obras Públicas y sus respectivos Prepuestos, considerando: las acciones que se han de realizar y los resultados previsibles; así como los recursos necesarios </w:t>
      </w:r>
      <w:r w:rsidR="00D32958">
        <w:rPr>
          <w:rFonts w:ascii="Palatino Linotype" w:eastAsia="Calibri" w:hAnsi="Palatino Linotype" w:cs="Tahoma"/>
          <w:bCs/>
          <w:sz w:val="22"/>
          <w:szCs w:val="22"/>
          <w:lang w:eastAsia="en-US"/>
        </w:rPr>
        <w:t>para la ejecución, la calendarización física y financiera y los gastos de operación.</w:t>
      </w:r>
    </w:p>
    <w:p w:rsidR="00C7474B" w:rsidRDefault="00C7474B" w:rsidP="00EF7AFC">
      <w:pPr>
        <w:spacing w:line="360" w:lineRule="auto"/>
        <w:jc w:val="both"/>
        <w:rPr>
          <w:rFonts w:ascii="Palatino Linotype" w:eastAsia="Calibri" w:hAnsi="Palatino Linotype" w:cs="Tahoma"/>
          <w:bCs/>
          <w:sz w:val="22"/>
          <w:szCs w:val="22"/>
          <w:lang w:eastAsia="en-US"/>
        </w:rPr>
      </w:pPr>
    </w:p>
    <w:p w:rsidR="00D32958" w:rsidRPr="004D1BDD" w:rsidRDefault="00D32958" w:rsidP="00D32958">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De igual forma, el artículo 14 de la misma Ley, refiere que </w:t>
      </w:r>
      <w:r w:rsidRPr="004D1BDD">
        <w:rPr>
          <w:rFonts w:ascii="Palatino Linotype" w:eastAsia="Calibri" w:hAnsi="Palatino Linotype" w:cs="Tahoma"/>
          <w:b/>
          <w:bCs/>
          <w:sz w:val="22"/>
          <w:szCs w:val="22"/>
          <w:lang w:eastAsia="en-US"/>
        </w:rPr>
        <w:t xml:space="preserve">son elementos de la obra pública las investigaciones, las asesorías y consultorías especializadas, los estudios y proyectos técnicos y de </w:t>
      </w:r>
      <w:r w:rsidR="00070098" w:rsidRPr="004D1BDD">
        <w:rPr>
          <w:rFonts w:ascii="Palatino Linotype" w:eastAsia="Calibri" w:hAnsi="Palatino Linotype" w:cs="Tahoma"/>
          <w:b/>
          <w:bCs/>
          <w:sz w:val="22"/>
          <w:szCs w:val="22"/>
          <w:lang w:eastAsia="en-US"/>
        </w:rPr>
        <w:t>pre inversión</w:t>
      </w:r>
      <w:r w:rsidRPr="004D1BDD">
        <w:rPr>
          <w:rFonts w:ascii="Palatino Linotype" w:eastAsia="Calibri" w:hAnsi="Palatino Linotype" w:cs="Tahoma"/>
          <w:b/>
          <w:bCs/>
          <w:sz w:val="22"/>
          <w:szCs w:val="22"/>
          <w:lang w:eastAsia="en-US"/>
        </w:rPr>
        <w:t>, así como los servicios profesionales de supervisión y dirección técnica que se requieran.</w:t>
      </w:r>
    </w:p>
    <w:p w:rsidR="00D32958" w:rsidRDefault="00D32958" w:rsidP="00D32958">
      <w:pPr>
        <w:spacing w:line="360" w:lineRule="auto"/>
        <w:jc w:val="both"/>
        <w:rPr>
          <w:rFonts w:ascii="Palatino Linotype" w:eastAsia="Calibri" w:hAnsi="Palatino Linotype" w:cs="Tahoma"/>
          <w:bCs/>
          <w:sz w:val="22"/>
          <w:szCs w:val="22"/>
          <w:lang w:eastAsia="en-US"/>
        </w:rPr>
      </w:pPr>
    </w:p>
    <w:p w:rsidR="00D32958" w:rsidRDefault="00440BCF" w:rsidP="00440BC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 mayor abundamiento, el </w:t>
      </w:r>
      <w:r w:rsidR="004D1BDD">
        <w:rPr>
          <w:rFonts w:ascii="Palatino Linotype" w:eastAsia="Calibri" w:hAnsi="Palatino Linotype" w:cs="Tahoma"/>
          <w:bCs/>
          <w:sz w:val="22"/>
          <w:szCs w:val="22"/>
          <w:lang w:eastAsia="en-US"/>
        </w:rPr>
        <w:t xml:space="preserve">Libro Décimo Segundo, </w:t>
      </w:r>
      <w:r>
        <w:rPr>
          <w:rFonts w:ascii="Palatino Linotype" w:eastAsia="Calibri" w:hAnsi="Palatino Linotype" w:cs="Tahoma"/>
          <w:bCs/>
          <w:sz w:val="22"/>
          <w:szCs w:val="22"/>
          <w:lang w:eastAsia="en-US"/>
        </w:rPr>
        <w:t>artículo 12.12</w:t>
      </w:r>
      <w:r w:rsidR="004D1BDD">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del </w:t>
      </w:r>
      <w:r w:rsidRPr="00440BCF">
        <w:rPr>
          <w:rFonts w:ascii="Palatino Linotype" w:eastAsia="Calibri" w:hAnsi="Palatino Linotype" w:cs="Tahoma"/>
          <w:b/>
          <w:bCs/>
          <w:sz w:val="22"/>
          <w:szCs w:val="22"/>
          <w:lang w:eastAsia="en-US"/>
        </w:rPr>
        <w:t>Código Administrativo del Estado de México</w:t>
      </w:r>
      <w:r>
        <w:rPr>
          <w:rFonts w:ascii="Palatino Linotype" w:eastAsia="Calibri" w:hAnsi="Palatino Linotype" w:cs="Tahoma"/>
          <w:bCs/>
          <w:sz w:val="22"/>
          <w:szCs w:val="22"/>
          <w:lang w:eastAsia="en-US"/>
        </w:rPr>
        <w:t>, refiere que en la planeación de la obra pública los ayuntamientos deberán co</w:t>
      </w:r>
      <w:r w:rsidRPr="00440BCF">
        <w:rPr>
          <w:rFonts w:ascii="Palatino Linotype" w:eastAsia="Calibri" w:hAnsi="Palatino Linotype" w:cs="Tahoma"/>
          <w:bCs/>
          <w:sz w:val="22"/>
          <w:szCs w:val="22"/>
          <w:lang w:eastAsia="en-US"/>
        </w:rPr>
        <w:t xml:space="preserve">nsiderar la tecnología aplicable, en función de la naturaleza de las obras y </w:t>
      </w:r>
      <w:r w:rsidRPr="00E10FB5">
        <w:rPr>
          <w:rFonts w:ascii="Palatino Linotype" w:eastAsia="Calibri" w:hAnsi="Palatino Linotype" w:cs="Tahoma"/>
          <w:b/>
          <w:bCs/>
          <w:sz w:val="22"/>
          <w:szCs w:val="22"/>
          <w:lang w:eastAsia="en-US"/>
        </w:rPr>
        <w:t>la selección de materiales,</w:t>
      </w:r>
      <w:r w:rsidRPr="00440BCF">
        <w:rPr>
          <w:rFonts w:ascii="Palatino Linotype" w:eastAsia="Calibri" w:hAnsi="Palatino Linotype" w:cs="Tahoma"/>
          <w:bCs/>
          <w:sz w:val="22"/>
          <w:szCs w:val="22"/>
          <w:lang w:eastAsia="en-US"/>
        </w:rPr>
        <w:t xml:space="preserve"> productos, equipos y procedimientos de tecnología nacional preferentemente, que</w:t>
      </w:r>
      <w:r>
        <w:rPr>
          <w:rFonts w:ascii="Palatino Linotype" w:eastAsia="Calibri" w:hAnsi="Palatino Linotype" w:cs="Tahoma"/>
          <w:bCs/>
          <w:sz w:val="22"/>
          <w:szCs w:val="22"/>
          <w:lang w:eastAsia="en-US"/>
        </w:rPr>
        <w:t xml:space="preserve"> </w:t>
      </w:r>
      <w:r w:rsidRPr="00440BCF">
        <w:rPr>
          <w:rFonts w:ascii="Palatino Linotype" w:eastAsia="Calibri" w:hAnsi="Palatino Linotype" w:cs="Tahoma"/>
          <w:bCs/>
          <w:sz w:val="22"/>
          <w:szCs w:val="22"/>
          <w:lang w:eastAsia="en-US"/>
        </w:rPr>
        <w:t>satisfagan los requerimientos técnicos y económicos del proyecto</w:t>
      </w:r>
      <w:r>
        <w:rPr>
          <w:rFonts w:ascii="Palatino Linotype" w:eastAsia="Calibri" w:hAnsi="Palatino Linotype" w:cs="Tahoma"/>
          <w:bCs/>
          <w:sz w:val="22"/>
          <w:szCs w:val="22"/>
          <w:lang w:eastAsia="en-US"/>
        </w:rPr>
        <w:t>.</w:t>
      </w:r>
    </w:p>
    <w:p w:rsidR="00B200AC" w:rsidRDefault="00B200AC" w:rsidP="00EF7AFC">
      <w:pPr>
        <w:spacing w:line="360" w:lineRule="auto"/>
        <w:jc w:val="both"/>
        <w:rPr>
          <w:rFonts w:ascii="Palatino Linotype" w:eastAsia="Calibri" w:hAnsi="Palatino Linotype" w:cs="Tahoma"/>
          <w:bCs/>
          <w:sz w:val="22"/>
          <w:szCs w:val="22"/>
          <w:lang w:eastAsia="en-US"/>
        </w:rPr>
      </w:pPr>
    </w:p>
    <w:p w:rsidR="00C372A0" w:rsidRPr="00E10FB5" w:rsidRDefault="004D1BDD" w:rsidP="004D1BDD">
      <w:pPr>
        <w:spacing w:line="360" w:lineRule="auto"/>
        <w:jc w:val="both"/>
        <w:rPr>
          <w:rFonts w:ascii="Palatino Linotype" w:eastAsia="Calibri" w:hAnsi="Palatino Linotype" w:cs="Tahoma"/>
          <w:b/>
          <w:bCs/>
          <w:sz w:val="22"/>
          <w:szCs w:val="22"/>
          <w:u w:val="single"/>
          <w:lang w:eastAsia="en-US"/>
        </w:rPr>
      </w:pPr>
      <w:r>
        <w:rPr>
          <w:rFonts w:ascii="Palatino Linotype" w:eastAsia="Calibri" w:hAnsi="Palatino Linotype" w:cs="Tahoma"/>
          <w:bCs/>
          <w:sz w:val="22"/>
          <w:szCs w:val="22"/>
          <w:lang w:eastAsia="en-US"/>
        </w:rPr>
        <w:t xml:space="preserve">De manera más específica, el artículo 104, fracciones III y IV, del </w:t>
      </w:r>
      <w:r w:rsidRPr="004D1BDD">
        <w:rPr>
          <w:rFonts w:ascii="Palatino Linotype" w:eastAsia="Calibri" w:hAnsi="Palatino Linotype" w:cs="Tahoma"/>
          <w:b/>
          <w:bCs/>
          <w:sz w:val="22"/>
          <w:szCs w:val="22"/>
          <w:lang w:eastAsia="en-US"/>
        </w:rPr>
        <w:t>Reglamento del Libro Décimo Segundo del Código Administrativo del Estado de México</w:t>
      </w:r>
      <w:r>
        <w:rPr>
          <w:rFonts w:ascii="Palatino Linotype" w:eastAsia="Calibri" w:hAnsi="Palatino Linotype" w:cs="Tahoma"/>
          <w:bCs/>
          <w:sz w:val="22"/>
          <w:szCs w:val="22"/>
          <w:lang w:eastAsia="en-US"/>
        </w:rPr>
        <w:t xml:space="preserve">, señala </w:t>
      </w:r>
      <w:bookmarkStart w:id="2" w:name="_Hlk531219354"/>
      <w:r>
        <w:rPr>
          <w:rFonts w:ascii="Palatino Linotype" w:eastAsia="Calibri" w:hAnsi="Palatino Linotype" w:cs="Tahoma"/>
          <w:bCs/>
          <w:sz w:val="22"/>
          <w:szCs w:val="22"/>
          <w:lang w:eastAsia="en-US"/>
        </w:rPr>
        <w:t xml:space="preserve">que </w:t>
      </w:r>
      <w:r w:rsidRPr="00B20C9C">
        <w:rPr>
          <w:rFonts w:ascii="Palatino Linotype" w:eastAsia="Calibri" w:hAnsi="Palatino Linotype" w:cs="Tahoma"/>
          <w:b/>
          <w:bCs/>
          <w:sz w:val="22"/>
          <w:szCs w:val="22"/>
          <w:lang w:eastAsia="en-US"/>
        </w:rPr>
        <w:t xml:space="preserve">los contratos de obra pública y servicios </w:t>
      </w:r>
      <w:r w:rsidRPr="00E10FB5">
        <w:rPr>
          <w:rFonts w:ascii="Palatino Linotype" w:eastAsia="Calibri" w:hAnsi="Palatino Linotype" w:cs="Tahoma"/>
          <w:b/>
          <w:bCs/>
          <w:sz w:val="22"/>
          <w:szCs w:val="22"/>
          <w:u w:val="single"/>
          <w:lang w:eastAsia="en-US"/>
        </w:rPr>
        <w:t>contendrán la descripción pormenorizada de los trabajos que se deban ejecutar, debiendo acompañar los proyectos, planos, especificaciones, programas y presupuestos como parte integrante del contrato en el caso de las obras</w:t>
      </w:r>
      <w:r w:rsidRPr="004D1BDD">
        <w:rPr>
          <w:rFonts w:ascii="Palatino Linotype" w:eastAsia="Calibri" w:hAnsi="Palatino Linotype" w:cs="Tahoma"/>
          <w:b/>
          <w:bCs/>
          <w:sz w:val="22"/>
          <w:szCs w:val="22"/>
          <w:lang w:eastAsia="en-US"/>
        </w:rPr>
        <w:t>; tratándose de servicios, los términos de referencia;</w:t>
      </w:r>
      <w:r>
        <w:rPr>
          <w:rFonts w:ascii="Palatino Linotype" w:eastAsia="Calibri" w:hAnsi="Palatino Linotype" w:cs="Tahoma"/>
          <w:b/>
          <w:bCs/>
          <w:sz w:val="22"/>
          <w:szCs w:val="22"/>
          <w:lang w:eastAsia="en-US"/>
        </w:rPr>
        <w:t xml:space="preserve"> </w:t>
      </w:r>
      <w:r w:rsidRPr="00E10FB5">
        <w:rPr>
          <w:rFonts w:ascii="Palatino Linotype" w:eastAsia="Calibri" w:hAnsi="Palatino Linotype" w:cs="Tahoma"/>
          <w:b/>
          <w:bCs/>
          <w:sz w:val="22"/>
          <w:szCs w:val="22"/>
          <w:u w:val="single"/>
          <w:lang w:eastAsia="en-US"/>
        </w:rPr>
        <w:t>así como el precio a pagar por los trabajos objeto del contrato.</w:t>
      </w:r>
    </w:p>
    <w:bookmarkEnd w:id="2"/>
    <w:p w:rsidR="00B303E3" w:rsidRDefault="00B303E3" w:rsidP="00EF7AFC">
      <w:pPr>
        <w:spacing w:line="360" w:lineRule="auto"/>
        <w:jc w:val="both"/>
        <w:rPr>
          <w:rFonts w:ascii="Palatino Linotype" w:eastAsia="Calibri" w:hAnsi="Palatino Linotype" w:cs="Tahoma"/>
          <w:bCs/>
          <w:sz w:val="22"/>
          <w:szCs w:val="22"/>
          <w:lang w:eastAsia="en-US"/>
        </w:rPr>
      </w:pPr>
    </w:p>
    <w:p w:rsidR="00B303E3" w:rsidRPr="00BD06BD" w:rsidRDefault="00CA6A15" w:rsidP="00EF7AFC">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Adicional a ello</w:t>
      </w:r>
      <w:r w:rsidR="004D1BDD">
        <w:rPr>
          <w:rFonts w:ascii="Palatino Linotype" w:eastAsia="Calibri" w:hAnsi="Palatino Linotype" w:cs="Tahoma"/>
          <w:bCs/>
          <w:sz w:val="22"/>
          <w:szCs w:val="22"/>
          <w:lang w:eastAsia="en-US"/>
        </w:rPr>
        <w:t xml:space="preserve">, </w:t>
      </w:r>
      <w:r w:rsidR="00BD06BD">
        <w:rPr>
          <w:rFonts w:ascii="Palatino Linotype" w:eastAsia="Calibri" w:hAnsi="Palatino Linotype" w:cs="Tahoma"/>
          <w:bCs/>
          <w:sz w:val="22"/>
          <w:szCs w:val="22"/>
          <w:lang w:eastAsia="en-US"/>
        </w:rPr>
        <w:t xml:space="preserve">el </w:t>
      </w:r>
      <w:r w:rsidR="00BD06BD" w:rsidRPr="00BD06BD">
        <w:rPr>
          <w:rFonts w:ascii="Palatino Linotype" w:eastAsia="Calibri" w:hAnsi="Palatino Linotype" w:cs="Tahoma"/>
          <w:b/>
          <w:bCs/>
          <w:sz w:val="22"/>
          <w:szCs w:val="22"/>
          <w:lang w:eastAsia="en-US"/>
        </w:rPr>
        <w:t>Manual Único de Contabilidad Gubernamental para las Dependencias y Entidades Públicas del Gobierno y Municipios del Estado de México</w:t>
      </w:r>
      <w:r w:rsidR="00BD06BD">
        <w:rPr>
          <w:rFonts w:ascii="Palatino Linotype" w:eastAsia="Calibri" w:hAnsi="Palatino Linotype" w:cs="Tahoma"/>
          <w:bCs/>
          <w:sz w:val="22"/>
          <w:szCs w:val="22"/>
          <w:lang w:eastAsia="en-US"/>
        </w:rPr>
        <w:t xml:space="preserve">, en su aparatado “Bases de preparación de los estados financieros”, </w:t>
      </w:r>
      <w:r w:rsidR="00BD06BD" w:rsidRPr="00BD06BD">
        <w:rPr>
          <w:rFonts w:ascii="Palatino Linotype" w:eastAsia="Calibri" w:hAnsi="Palatino Linotype" w:cs="Tahoma"/>
          <w:b/>
          <w:bCs/>
          <w:sz w:val="22"/>
          <w:szCs w:val="22"/>
          <w:lang w:eastAsia="en-US"/>
        </w:rPr>
        <w:t>refiere que dichos estados financieros contendrán información relativa a la obra pública, que se clasificará en Obras en proceso y gasto ejercido y obras concluidas y su costo.</w:t>
      </w:r>
    </w:p>
    <w:p w:rsidR="00B303E3" w:rsidRDefault="00B303E3" w:rsidP="00EF7AFC">
      <w:pPr>
        <w:spacing w:line="360" w:lineRule="auto"/>
        <w:jc w:val="both"/>
        <w:rPr>
          <w:rFonts w:ascii="Palatino Linotype" w:eastAsia="Calibri" w:hAnsi="Palatino Linotype" w:cs="Tahoma"/>
          <w:bCs/>
          <w:sz w:val="22"/>
          <w:szCs w:val="22"/>
          <w:lang w:eastAsia="en-US"/>
        </w:rPr>
      </w:pPr>
    </w:p>
    <w:p w:rsidR="00BD06BD" w:rsidRDefault="00BD06BD" w:rsidP="00BD06B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Finalmente, los </w:t>
      </w:r>
      <w:r w:rsidRPr="00BD06BD">
        <w:rPr>
          <w:rFonts w:ascii="Palatino Linotype" w:eastAsia="Calibri" w:hAnsi="Palatino Linotype" w:cs="Tahoma"/>
          <w:b/>
          <w:bCs/>
          <w:sz w:val="22"/>
          <w:szCs w:val="22"/>
          <w:lang w:eastAsia="en-US"/>
        </w:rPr>
        <w:t>Lineamientos para la Elaboración y Presentación del Informe Mensual Municipal</w:t>
      </w:r>
      <w:r>
        <w:rPr>
          <w:rFonts w:ascii="Palatino Linotype" w:eastAsia="Calibri" w:hAnsi="Palatino Linotype" w:cs="Tahoma"/>
          <w:bCs/>
          <w:sz w:val="22"/>
          <w:szCs w:val="22"/>
          <w:lang w:eastAsia="en-US"/>
        </w:rPr>
        <w:t xml:space="preserve">, indican que los ayuntamientos deben </w:t>
      </w:r>
      <w:r w:rsidRPr="00BD06BD">
        <w:rPr>
          <w:rFonts w:ascii="Palatino Linotype" w:eastAsia="Calibri" w:hAnsi="Palatino Linotype" w:cs="Tahoma"/>
          <w:bCs/>
          <w:sz w:val="22"/>
          <w:szCs w:val="22"/>
          <w:lang w:eastAsia="en-US"/>
        </w:rPr>
        <w:t>presentar al</w:t>
      </w:r>
      <w:r>
        <w:rPr>
          <w:rFonts w:ascii="Palatino Linotype" w:eastAsia="Calibri" w:hAnsi="Palatino Linotype" w:cs="Tahoma"/>
          <w:bCs/>
          <w:sz w:val="22"/>
          <w:szCs w:val="22"/>
          <w:lang w:eastAsia="en-US"/>
        </w:rPr>
        <w:t xml:space="preserve"> </w:t>
      </w:r>
      <w:r w:rsidRPr="00BD06BD">
        <w:rPr>
          <w:rFonts w:ascii="Palatino Linotype" w:eastAsia="Calibri" w:hAnsi="Palatino Linotype" w:cs="Tahoma"/>
          <w:bCs/>
          <w:sz w:val="22"/>
          <w:szCs w:val="22"/>
          <w:lang w:eastAsia="en-US"/>
        </w:rPr>
        <w:t>Órgano Superior de Fiscalización del Estado de México, su informe mensual dentro de los</w:t>
      </w:r>
      <w:r>
        <w:rPr>
          <w:rFonts w:ascii="Palatino Linotype" w:eastAsia="Calibri" w:hAnsi="Palatino Linotype" w:cs="Tahoma"/>
          <w:bCs/>
          <w:sz w:val="22"/>
          <w:szCs w:val="22"/>
          <w:lang w:eastAsia="en-US"/>
        </w:rPr>
        <w:t xml:space="preserve"> </w:t>
      </w:r>
      <w:r w:rsidRPr="00BD06BD">
        <w:rPr>
          <w:rFonts w:ascii="Palatino Linotype" w:eastAsia="Calibri" w:hAnsi="Palatino Linotype" w:cs="Tahoma"/>
          <w:bCs/>
          <w:sz w:val="22"/>
          <w:szCs w:val="22"/>
          <w:lang w:eastAsia="en-US"/>
        </w:rPr>
        <w:t>20 días posteriores al término del mes correspondiente,</w:t>
      </w:r>
      <w:r>
        <w:rPr>
          <w:rFonts w:ascii="Palatino Linotype" w:eastAsia="Calibri" w:hAnsi="Palatino Linotype" w:cs="Tahoma"/>
          <w:bCs/>
          <w:sz w:val="22"/>
          <w:szCs w:val="22"/>
          <w:lang w:eastAsia="en-US"/>
        </w:rPr>
        <w:t xml:space="preserve"> mismo que deberá contener la </w:t>
      </w:r>
      <w:r w:rsidRPr="00BD06BD">
        <w:rPr>
          <w:rFonts w:ascii="Palatino Linotype" w:eastAsia="Calibri" w:hAnsi="Palatino Linotype" w:cs="Tahoma"/>
          <w:b/>
          <w:bCs/>
          <w:sz w:val="22"/>
          <w:szCs w:val="22"/>
          <w:lang w:eastAsia="en-US"/>
        </w:rPr>
        <w:t>Cédula de Relación de Obras Planificadas y Realizadas con el Fondo de Aportaciones para la Infraestructura Social Municipal y de las Demarcaciones Territoriales del Distrito Federal; Informe Mensual de Obras por Administración; Informe Mensual de Obras por Contrato; Informe Mensual de Reparaciones y Mantenimientos.</w:t>
      </w:r>
    </w:p>
    <w:p w:rsidR="00BD06BD" w:rsidRDefault="00BD06BD" w:rsidP="00EF7AFC">
      <w:pPr>
        <w:spacing w:line="360" w:lineRule="auto"/>
        <w:jc w:val="both"/>
        <w:rPr>
          <w:rFonts w:ascii="Palatino Linotype" w:eastAsia="Calibri" w:hAnsi="Palatino Linotype" w:cs="Tahoma"/>
          <w:bCs/>
          <w:sz w:val="22"/>
          <w:szCs w:val="22"/>
          <w:lang w:eastAsia="en-US"/>
        </w:rPr>
      </w:pPr>
    </w:p>
    <w:p w:rsidR="00BD06BD" w:rsidRDefault="00BD06BD"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con base en la normatividad refe</w:t>
      </w:r>
      <w:r w:rsidR="00B20C9C">
        <w:rPr>
          <w:rFonts w:ascii="Palatino Linotype" w:eastAsia="Calibri" w:hAnsi="Palatino Linotype" w:cs="Tahoma"/>
          <w:bCs/>
          <w:sz w:val="22"/>
          <w:szCs w:val="22"/>
          <w:lang w:eastAsia="en-US"/>
        </w:rPr>
        <w:t xml:space="preserve">rida, se puede concluir que el Ayuntamiento de Cuautitlán Izcalli debe contar con los documentos que den cuenta de </w:t>
      </w:r>
      <w:r w:rsidR="00B20C9C" w:rsidRPr="00B20C9C">
        <w:rPr>
          <w:rFonts w:ascii="Palatino Linotype" w:eastAsia="Calibri" w:hAnsi="Palatino Linotype" w:cs="Tahoma"/>
          <w:bCs/>
          <w:sz w:val="22"/>
          <w:szCs w:val="22"/>
          <w:lang w:eastAsia="en-US"/>
        </w:rPr>
        <w:t>la cantidad</w:t>
      </w:r>
      <w:r w:rsidR="00B20C9C">
        <w:rPr>
          <w:rFonts w:ascii="Palatino Linotype" w:eastAsia="Calibri" w:hAnsi="Palatino Linotype" w:cs="Tahoma"/>
          <w:bCs/>
          <w:sz w:val="22"/>
          <w:szCs w:val="22"/>
          <w:lang w:eastAsia="en-US"/>
        </w:rPr>
        <w:t xml:space="preserve"> </w:t>
      </w:r>
      <w:r w:rsidR="00B20C9C" w:rsidRPr="00B20C9C">
        <w:rPr>
          <w:rFonts w:ascii="Palatino Linotype" w:eastAsia="Calibri" w:hAnsi="Palatino Linotype" w:cs="Tahoma"/>
          <w:bCs/>
          <w:sz w:val="22"/>
          <w:szCs w:val="22"/>
          <w:lang w:eastAsia="en-US"/>
        </w:rPr>
        <w:t>de recursos destinados a la reparación y repavimentación de las Avenidas Paseos del Alba, de los Fresnos y Dr. Jorge Jiménez Cantú, en el presente año; el tipo de material con el que se ha efectuado la reparación; y, la ficha técnica de las obras referidas.</w:t>
      </w:r>
    </w:p>
    <w:p w:rsidR="00BD06BD" w:rsidRDefault="00BD06BD" w:rsidP="00EF7AFC">
      <w:pPr>
        <w:spacing w:line="360" w:lineRule="auto"/>
        <w:jc w:val="both"/>
        <w:rPr>
          <w:rFonts w:ascii="Palatino Linotype" w:eastAsia="Calibri" w:hAnsi="Palatino Linotype" w:cs="Tahoma"/>
          <w:bCs/>
          <w:sz w:val="22"/>
          <w:szCs w:val="22"/>
          <w:lang w:eastAsia="en-US"/>
        </w:rPr>
      </w:pPr>
    </w:p>
    <w:p w:rsidR="00BD06BD" w:rsidRDefault="00B20C9C"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de resaltar que, si bien</w:t>
      </w:r>
      <w:r w:rsidR="00E84D8D">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el Sujeto Obligado señal</w:t>
      </w:r>
      <w:r w:rsidR="00E84D8D">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 xml:space="preserve"> que no se encuentra </w:t>
      </w:r>
      <w:r w:rsidR="00E84D8D">
        <w:rPr>
          <w:rFonts w:ascii="Palatino Linotype" w:eastAsia="Calibri" w:hAnsi="Palatino Linotype" w:cs="Tahoma"/>
          <w:bCs/>
          <w:sz w:val="22"/>
          <w:szCs w:val="22"/>
          <w:lang w:eastAsia="en-US"/>
        </w:rPr>
        <w:t xml:space="preserve">constreñido </w:t>
      </w:r>
      <w:r>
        <w:rPr>
          <w:rFonts w:ascii="Palatino Linotype" w:eastAsia="Calibri" w:hAnsi="Palatino Linotype" w:cs="Tahoma"/>
          <w:bCs/>
          <w:sz w:val="22"/>
          <w:szCs w:val="22"/>
          <w:lang w:eastAsia="en-US"/>
        </w:rPr>
        <w:t xml:space="preserve">a generar documentos específicos para atender solicitudes de información, lo cierto es que bajo el principio de máxima publicidad </w:t>
      </w:r>
      <w:r w:rsidR="00E84D8D">
        <w:rPr>
          <w:rFonts w:ascii="Palatino Linotype" w:eastAsia="Calibri" w:hAnsi="Palatino Linotype" w:cs="Tahoma"/>
          <w:bCs/>
          <w:sz w:val="22"/>
          <w:szCs w:val="22"/>
          <w:lang w:eastAsia="en-US"/>
        </w:rPr>
        <w:t>debe</w:t>
      </w:r>
      <w:r>
        <w:rPr>
          <w:rFonts w:ascii="Palatino Linotype" w:eastAsia="Calibri" w:hAnsi="Palatino Linotype" w:cs="Tahoma"/>
          <w:bCs/>
          <w:sz w:val="22"/>
          <w:szCs w:val="22"/>
          <w:lang w:eastAsia="en-US"/>
        </w:rPr>
        <w:t xml:space="preserve"> dar a las solicitudes de información que le son presentadas, una interpretación amplia, de tal forma que </w:t>
      </w:r>
      <w:r w:rsidR="00E84D8D">
        <w:rPr>
          <w:rFonts w:ascii="Palatino Linotype" w:eastAsia="Calibri" w:hAnsi="Palatino Linotype" w:cs="Tahoma"/>
          <w:bCs/>
          <w:sz w:val="22"/>
          <w:szCs w:val="22"/>
          <w:lang w:eastAsia="en-US"/>
        </w:rPr>
        <w:t>entreguen</w:t>
      </w:r>
      <w:r>
        <w:rPr>
          <w:rFonts w:ascii="Palatino Linotype" w:eastAsia="Calibri" w:hAnsi="Palatino Linotype" w:cs="Tahoma"/>
          <w:bCs/>
          <w:sz w:val="22"/>
          <w:szCs w:val="22"/>
          <w:lang w:eastAsia="en-US"/>
        </w:rPr>
        <w:t xml:space="preserve"> </w:t>
      </w:r>
      <w:r w:rsidR="00E84D8D">
        <w:rPr>
          <w:rFonts w:ascii="Palatino Linotype" w:eastAsia="Calibri" w:hAnsi="Palatino Linotype" w:cs="Tahoma"/>
          <w:bCs/>
          <w:sz w:val="22"/>
          <w:szCs w:val="22"/>
          <w:lang w:eastAsia="en-US"/>
        </w:rPr>
        <w:t xml:space="preserve">la </w:t>
      </w:r>
      <w:r>
        <w:rPr>
          <w:rFonts w:ascii="Palatino Linotype" w:eastAsia="Calibri" w:hAnsi="Palatino Linotype" w:cs="Tahoma"/>
          <w:bCs/>
          <w:sz w:val="22"/>
          <w:szCs w:val="22"/>
          <w:lang w:eastAsia="en-US"/>
        </w:rPr>
        <w:t xml:space="preserve">expresión documental </w:t>
      </w:r>
      <w:r w:rsidR="00E84D8D">
        <w:rPr>
          <w:rFonts w:ascii="Palatino Linotype" w:eastAsia="Calibri" w:hAnsi="Palatino Linotype" w:cs="Tahoma"/>
          <w:bCs/>
          <w:sz w:val="22"/>
          <w:szCs w:val="22"/>
          <w:lang w:eastAsia="en-US"/>
        </w:rPr>
        <w:t>que dé cuenta de</w:t>
      </w:r>
      <w:r>
        <w:rPr>
          <w:rFonts w:ascii="Palatino Linotype" w:eastAsia="Calibri" w:hAnsi="Palatino Linotype" w:cs="Tahoma"/>
          <w:bCs/>
          <w:sz w:val="22"/>
          <w:szCs w:val="22"/>
          <w:lang w:eastAsia="en-US"/>
        </w:rPr>
        <w:t xml:space="preserve"> las pretensiones de los solicitantes.</w:t>
      </w:r>
    </w:p>
    <w:p w:rsidR="00B20C9C" w:rsidRDefault="00B20C9C" w:rsidP="00EF7AFC">
      <w:pPr>
        <w:spacing w:line="360" w:lineRule="auto"/>
        <w:jc w:val="both"/>
        <w:rPr>
          <w:rFonts w:ascii="Palatino Linotype" w:eastAsia="Calibri" w:hAnsi="Palatino Linotype" w:cs="Tahoma"/>
          <w:bCs/>
          <w:sz w:val="22"/>
          <w:szCs w:val="22"/>
          <w:lang w:eastAsia="en-US"/>
        </w:rPr>
      </w:pPr>
    </w:p>
    <w:p w:rsidR="00B20C9C" w:rsidRDefault="00B20C9C"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resulta ilustrador el </w:t>
      </w:r>
      <w:r w:rsidRPr="00B20C9C">
        <w:rPr>
          <w:rFonts w:ascii="Palatino Linotype" w:eastAsia="Calibri" w:hAnsi="Palatino Linotype" w:cs="Tahoma"/>
          <w:b/>
          <w:bCs/>
          <w:sz w:val="22"/>
          <w:szCs w:val="22"/>
          <w:lang w:eastAsia="en-US"/>
        </w:rPr>
        <w:t>Criterio 16/17</w:t>
      </w:r>
      <w:r>
        <w:rPr>
          <w:rFonts w:ascii="Palatino Linotype" w:eastAsia="Calibri" w:hAnsi="Palatino Linotype" w:cs="Tahoma"/>
          <w:bCs/>
          <w:sz w:val="22"/>
          <w:szCs w:val="22"/>
          <w:lang w:eastAsia="en-US"/>
        </w:rPr>
        <w:t>, emitido por el Pleno del Instituto Nacional de Transparencia, Acceso a la Información Pública y Protección de Datos Personales, de rubro y texto siguientes:</w:t>
      </w:r>
    </w:p>
    <w:p w:rsidR="00B20C9C" w:rsidRDefault="00B20C9C" w:rsidP="00EF7AFC">
      <w:pPr>
        <w:spacing w:line="360" w:lineRule="auto"/>
        <w:jc w:val="both"/>
        <w:rPr>
          <w:rFonts w:ascii="Palatino Linotype" w:eastAsia="Calibri" w:hAnsi="Palatino Linotype" w:cs="Tahoma"/>
          <w:bCs/>
          <w:sz w:val="22"/>
          <w:szCs w:val="22"/>
          <w:lang w:eastAsia="en-US"/>
        </w:rPr>
      </w:pPr>
    </w:p>
    <w:p w:rsidR="00B20C9C" w:rsidRPr="00B20C9C" w:rsidRDefault="00B20C9C" w:rsidP="00B20C9C">
      <w:pPr>
        <w:spacing w:line="360" w:lineRule="auto"/>
        <w:ind w:left="567" w:right="567"/>
        <w:jc w:val="both"/>
        <w:rPr>
          <w:rFonts w:ascii="Palatino Linotype" w:eastAsia="Calibri" w:hAnsi="Palatino Linotype" w:cs="Tahoma"/>
          <w:bCs/>
          <w:lang w:eastAsia="en-US"/>
        </w:rPr>
      </w:pPr>
      <w:r w:rsidRPr="00B20C9C">
        <w:rPr>
          <w:rFonts w:ascii="Palatino Linotype" w:eastAsia="Calibri" w:hAnsi="Palatino Linotype" w:cs="Tahoma"/>
          <w:b/>
          <w:bCs/>
          <w:lang w:eastAsia="en-US"/>
        </w:rPr>
        <w:t xml:space="preserve">Expresión documental. </w:t>
      </w:r>
      <w:r w:rsidRPr="00B20C9C">
        <w:rPr>
          <w:rFonts w:ascii="Palatino Linotype" w:eastAsia="Calibri" w:hAnsi="Palatino Linotype" w:cs="Tahoma"/>
          <w:bCs/>
          <w:lang w:eastAsia="en-US"/>
        </w:rPr>
        <w:t>Cuando</w:t>
      </w:r>
      <w:r w:rsidRPr="00B20C9C">
        <w:rPr>
          <w:rFonts w:ascii="Palatino Linotype" w:eastAsia="Calibri" w:hAnsi="Palatino Linotype" w:cs="Tahoma"/>
          <w:bCs/>
          <w:lang w:val="es-ES" w:eastAsia="en-US"/>
        </w:rPr>
        <w:t xml:space="preserve"> los particulares presenten solicitudes de acceso a la información sin identificar de forma precisa la documentación que pudiera contener la </w:t>
      </w:r>
      <w:r w:rsidRPr="00B20C9C">
        <w:rPr>
          <w:rFonts w:ascii="Palatino Linotype" w:eastAsia="Calibri" w:hAnsi="Palatino Linotype" w:cs="Tahoma"/>
          <w:bCs/>
          <w:lang w:val="es-ES" w:eastAsia="en-US"/>
        </w:rPr>
        <w:lastRenderedPageBreak/>
        <w:t xml:space="preserve">información de su interés, </w:t>
      </w:r>
      <w:r w:rsidRPr="00B20C9C">
        <w:rPr>
          <w:rFonts w:ascii="Palatino Linotype" w:eastAsia="Calibri" w:hAnsi="Palatino Linotype" w:cs="Tahoma"/>
          <w:bCs/>
          <w:lang w:eastAsia="en-US"/>
        </w:rPr>
        <w:t>o bien, la solicitud constituya una consulta,</w:t>
      </w:r>
      <w:r w:rsidRPr="00B20C9C">
        <w:rPr>
          <w:rFonts w:ascii="Palatino Linotype" w:eastAsia="Calibri" w:hAnsi="Palatino Linotype" w:cs="Tahoma"/>
          <w:bCs/>
          <w:lang w:val="es-ES" w:eastAsia="en-US"/>
        </w:rPr>
        <w:t xml:space="preserve"> pero la respuesta pudiera obrar en algún documento en poder de los sujetos obligados, éstos deben dar a dichas solicitudes una interpretación que les otorgue una expresión documental. </w:t>
      </w:r>
    </w:p>
    <w:p w:rsidR="00BD06BD" w:rsidRDefault="00B20C9C"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consiguiente, este Instituto advierte, de forma enunciativa mas no limitativa y con base en la normatividad analizada, que las expresiones documentales que pudieran contener la información requerida por el Solicitante son: </w:t>
      </w:r>
      <w:r w:rsidRPr="00B20C9C">
        <w:rPr>
          <w:rFonts w:ascii="Palatino Linotype" w:eastAsia="Calibri" w:hAnsi="Palatino Linotype" w:cs="Tahoma"/>
          <w:bCs/>
          <w:sz w:val="22"/>
          <w:szCs w:val="22"/>
          <w:lang w:eastAsia="en-US"/>
        </w:rPr>
        <w:t>las investigaciones, las asesorías y consultorías especializadas, los estudios y proyectos técnicos y de pre</w:t>
      </w:r>
      <w:r w:rsidR="00453D6D">
        <w:rPr>
          <w:rFonts w:ascii="Palatino Linotype" w:eastAsia="Calibri" w:hAnsi="Palatino Linotype" w:cs="Tahoma"/>
          <w:bCs/>
          <w:sz w:val="22"/>
          <w:szCs w:val="22"/>
          <w:lang w:eastAsia="en-US"/>
        </w:rPr>
        <w:t xml:space="preserve"> </w:t>
      </w:r>
      <w:r w:rsidRPr="00B20C9C">
        <w:rPr>
          <w:rFonts w:ascii="Palatino Linotype" w:eastAsia="Calibri" w:hAnsi="Palatino Linotype" w:cs="Tahoma"/>
          <w:bCs/>
          <w:sz w:val="22"/>
          <w:szCs w:val="22"/>
          <w:lang w:eastAsia="en-US"/>
        </w:rPr>
        <w:t>inversión, así como los servicios profesionales de supervisión y dirección técnica</w:t>
      </w:r>
      <w:r w:rsidR="00453D6D">
        <w:rPr>
          <w:rFonts w:ascii="Palatino Linotype" w:eastAsia="Calibri" w:hAnsi="Palatino Linotype" w:cs="Tahoma"/>
          <w:bCs/>
          <w:sz w:val="22"/>
          <w:szCs w:val="22"/>
          <w:lang w:eastAsia="en-US"/>
        </w:rPr>
        <w:t xml:space="preserve">, así como </w:t>
      </w:r>
      <w:r>
        <w:rPr>
          <w:rFonts w:ascii="Palatino Linotype" w:eastAsia="Calibri" w:hAnsi="Palatino Linotype" w:cs="Tahoma"/>
          <w:bCs/>
          <w:sz w:val="22"/>
          <w:szCs w:val="22"/>
          <w:lang w:eastAsia="en-US"/>
        </w:rPr>
        <w:t xml:space="preserve">el contrato de la obra, pues </w:t>
      </w:r>
      <w:r w:rsidR="00AA0957">
        <w:rPr>
          <w:rFonts w:ascii="Palatino Linotype" w:eastAsia="Calibri" w:hAnsi="Palatino Linotype" w:cs="Tahoma"/>
          <w:bCs/>
          <w:sz w:val="22"/>
          <w:szCs w:val="22"/>
          <w:lang w:eastAsia="en-US"/>
        </w:rPr>
        <w:t>allí</w:t>
      </w:r>
      <w:r>
        <w:rPr>
          <w:rFonts w:ascii="Palatino Linotype" w:eastAsia="Calibri" w:hAnsi="Palatino Linotype" w:cs="Tahoma"/>
          <w:bCs/>
          <w:sz w:val="22"/>
          <w:szCs w:val="22"/>
          <w:lang w:eastAsia="en-US"/>
        </w:rPr>
        <w:t xml:space="preserve"> se </w:t>
      </w:r>
      <w:r w:rsidRPr="00B20C9C">
        <w:rPr>
          <w:rFonts w:ascii="Palatino Linotype" w:eastAsia="Calibri" w:hAnsi="Palatino Linotype" w:cs="Tahoma"/>
          <w:bCs/>
          <w:sz w:val="22"/>
          <w:szCs w:val="22"/>
          <w:lang w:eastAsia="en-US"/>
        </w:rPr>
        <w:t>descri</w:t>
      </w:r>
      <w:r w:rsidR="00453D6D">
        <w:rPr>
          <w:rFonts w:ascii="Palatino Linotype" w:eastAsia="Calibri" w:hAnsi="Palatino Linotype" w:cs="Tahoma"/>
          <w:bCs/>
          <w:sz w:val="22"/>
          <w:szCs w:val="22"/>
          <w:lang w:eastAsia="en-US"/>
        </w:rPr>
        <w:t>ben de manera</w:t>
      </w:r>
      <w:r w:rsidRPr="00B20C9C">
        <w:rPr>
          <w:rFonts w:ascii="Palatino Linotype" w:eastAsia="Calibri" w:hAnsi="Palatino Linotype" w:cs="Tahoma"/>
          <w:bCs/>
          <w:sz w:val="22"/>
          <w:szCs w:val="22"/>
          <w:lang w:eastAsia="en-US"/>
        </w:rPr>
        <w:t xml:space="preserve"> pormenorizada de los trabajos que se deban ejecutar, </w:t>
      </w:r>
      <w:r w:rsidR="00AA0957">
        <w:rPr>
          <w:rFonts w:ascii="Palatino Linotype" w:eastAsia="Calibri" w:hAnsi="Palatino Linotype" w:cs="Tahoma"/>
          <w:bCs/>
          <w:sz w:val="22"/>
          <w:szCs w:val="22"/>
          <w:lang w:eastAsia="en-US"/>
        </w:rPr>
        <w:t>y se acompaña de</w:t>
      </w:r>
      <w:r w:rsidRPr="00B20C9C">
        <w:rPr>
          <w:rFonts w:ascii="Palatino Linotype" w:eastAsia="Calibri" w:hAnsi="Palatino Linotype" w:cs="Tahoma"/>
          <w:bCs/>
          <w:sz w:val="22"/>
          <w:szCs w:val="22"/>
          <w:lang w:eastAsia="en-US"/>
        </w:rPr>
        <w:t xml:space="preserve"> los proyectos, planos, especificaciones, programas y presupuestos</w:t>
      </w:r>
      <w:r w:rsidR="00AA0957" w:rsidRPr="00D30D98">
        <w:rPr>
          <w:rFonts w:ascii="Palatino Linotype" w:eastAsia="Calibri" w:hAnsi="Palatino Linotype" w:cs="Tahoma"/>
          <w:bCs/>
          <w:sz w:val="22"/>
          <w:szCs w:val="22"/>
          <w:lang w:eastAsia="en-US"/>
        </w:rPr>
        <w:t xml:space="preserve">; así como la Cédula de Relación de Obras Planificadas y Realizadas con el Fondo de Aportaciones para la Infraestructura Social Municipal y de las Demarcaciones Territoriales del Distrito Federal; el Informe Mensual de Obras por Administración; Informe Mensual de Obras por Contrato; o el Informe Mensual de Reparaciones y Mantenimientos. </w:t>
      </w:r>
      <w:proofErr w:type="gramStart"/>
      <w:r w:rsidR="00453D6D" w:rsidRPr="00D30D98">
        <w:rPr>
          <w:rFonts w:ascii="Palatino Linotype" w:eastAsia="Calibri" w:hAnsi="Palatino Linotype" w:cs="Tahoma"/>
          <w:bCs/>
          <w:sz w:val="22"/>
          <w:szCs w:val="22"/>
          <w:lang w:eastAsia="en-US"/>
        </w:rPr>
        <w:t>,ya</w:t>
      </w:r>
      <w:proofErr w:type="gramEnd"/>
      <w:r w:rsidR="00453D6D" w:rsidRPr="00D30D98">
        <w:rPr>
          <w:rFonts w:ascii="Palatino Linotype" w:eastAsia="Calibri" w:hAnsi="Palatino Linotype" w:cs="Tahoma"/>
          <w:bCs/>
          <w:sz w:val="22"/>
          <w:szCs w:val="22"/>
          <w:lang w:eastAsia="en-US"/>
        </w:rPr>
        <w:t xml:space="preserve"> </w:t>
      </w:r>
      <w:r w:rsidR="00AA0957" w:rsidRPr="00D30D98">
        <w:rPr>
          <w:rFonts w:ascii="Palatino Linotype" w:eastAsia="Calibri" w:hAnsi="Palatino Linotype" w:cs="Tahoma"/>
          <w:bCs/>
          <w:sz w:val="22"/>
          <w:szCs w:val="22"/>
          <w:lang w:eastAsia="en-US"/>
        </w:rPr>
        <w:t>que lo</w:t>
      </w:r>
      <w:r w:rsidR="00AA0957">
        <w:rPr>
          <w:rFonts w:ascii="Palatino Linotype" w:eastAsia="Calibri" w:hAnsi="Palatino Linotype" w:cs="Tahoma"/>
          <w:bCs/>
          <w:sz w:val="22"/>
          <w:szCs w:val="22"/>
          <w:lang w:eastAsia="en-US"/>
        </w:rPr>
        <w:t xml:space="preserve">s mismos dan cuenta de </w:t>
      </w:r>
      <w:r w:rsidR="00AA0957" w:rsidRPr="00AA0957">
        <w:rPr>
          <w:rFonts w:ascii="Palatino Linotype" w:eastAsia="Calibri" w:hAnsi="Palatino Linotype" w:cs="Tahoma"/>
          <w:bCs/>
          <w:sz w:val="22"/>
          <w:szCs w:val="22"/>
          <w:lang w:eastAsia="en-US"/>
        </w:rPr>
        <w:t xml:space="preserve">la cantidad de recursos destinados </w:t>
      </w:r>
      <w:r w:rsidR="00AA0957">
        <w:rPr>
          <w:rFonts w:ascii="Palatino Linotype" w:eastAsia="Calibri" w:hAnsi="Palatino Linotype" w:cs="Tahoma"/>
          <w:bCs/>
          <w:sz w:val="22"/>
          <w:szCs w:val="22"/>
          <w:lang w:eastAsia="en-US"/>
        </w:rPr>
        <w:t>a las obras</w:t>
      </w:r>
      <w:r w:rsidR="00AA0957" w:rsidRPr="00AA0957">
        <w:rPr>
          <w:rFonts w:ascii="Palatino Linotype" w:eastAsia="Calibri" w:hAnsi="Palatino Linotype" w:cs="Tahoma"/>
          <w:bCs/>
          <w:sz w:val="22"/>
          <w:szCs w:val="22"/>
          <w:lang w:eastAsia="en-US"/>
        </w:rPr>
        <w:t>; el tipo de material con el que se ha efectuado la reparación y, la ficha técnica de las obras</w:t>
      </w:r>
      <w:r w:rsidR="00AA0957">
        <w:rPr>
          <w:rFonts w:ascii="Palatino Linotype" w:eastAsia="Calibri" w:hAnsi="Palatino Linotype" w:cs="Tahoma"/>
          <w:bCs/>
          <w:sz w:val="22"/>
          <w:szCs w:val="22"/>
          <w:lang w:eastAsia="en-US"/>
        </w:rPr>
        <w:t>.</w:t>
      </w:r>
    </w:p>
    <w:p w:rsidR="00AA0957" w:rsidRDefault="00AA0957" w:rsidP="00EF7AFC">
      <w:pPr>
        <w:spacing w:line="360" w:lineRule="auto"/>
        <w:jc w:val="both"/>
        <w:rPr>
          <w:rFonts w:ascii="Palatino Linotype" w:eastAsia="Calibri" w:hAnsi="Palatino Linotype" w:cs="Tahoma"/>
          <w:bCs/>
          <w:sz w:val="22"/>
          <w:szCs w:val="22"/>
          <w:lang w:eastAsia="en-US"/>
        </w:rPr>
      </w:pPr>
    </w:p>
    <w:p w:rsidR="00AA0957" w:rsidRDefault="00AA0957"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Consecuentemente, este Órgano Garante no puede validar la respuesta otorgada por la Dirección de Obras Públicas del Ayuntamiento de Cuautitlán Izcalli, ya que, como se ha demostrado, existen expresiones documentales generadas en usos de atribuciones y obligaciones que pueden atender los contenidos de información requeridos por el Particular, sin la necesidad de elaborar documentos específicos.</w:t>
      </w:r>
    </w:p>
    <w:p w:rsidR="00AA0957" w:rsidRDefault="00AA0957" w:rsidP="00EF7AFC">
      <w:pPr>
        <w:spacing w:line="360" w:lineRule="auto"/>
        <w:jc w:val="both"/>
        <w:rPr>
          <w:rFonts w:ascii="Palatino Linotype" w:eastAsia="Calibri" w:hAnsi="Palatino Linotype" w:cs="Tahoma"/>
          <w:bCs/>
          <w:sz w:val="22"/>
          <w:szCs w:val="22"/>
          <w:lang w:eastAsia="en-US"/>
        </w:rPr>
      </w:pPr>
    </w:p>
    <w:p w:rsidR="00AA0957" w:rsidRDefault="00AA0957"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 lo anterior se suma, que la Unidad de Transparencia del Ayuntamiento de Cuautitlán Izcalli no turnó la solicitud de acceso a la información a todas las áreas que por sus atribuciones, competencias o funciones pudieran contar con la información requerida por el Particular, tal </w:t>
      </w:r>
      <w:r>
        <w:rPr>
          <w:rFonts w:ascii="Palatino Linotype" w:eastAsia="Calibri" w:hAnsi="Palatino Linotype" w:cs="Tahoma"/>
          <w:bCs/>
          <w:sz w:val="22"/>
          <w:szCs w:val="22"/>
          <w:lang w:eastAsia="en-US"/>
        </w:rPr>
        <w:lastRenderedPageBreak/>
        <w:t>como lo obliga el artículo 162 de la Ley de Transparencia y Acceso a la Información Pública del Estado de México y Municipios.</w:t>
      </w:r>
    </w:p>
    <w:p w:rsidR="00AA0957" w:rsidRDefault="00AA0957" w:rsidP="00EF7AFC">
      <w:pPr>
        <w:spacing w:line="360" w:lineRule="auto"/>
        <w:jc w:val="both"/>
        <w:rPr>
          <w:rFonts w:ascii="Palatino Linotype" w:eastAsia="Calibri" w:hAnsi="Palatino Linotype" w:cs="Tahoma"/>
          <w:bCs/>
          <w:sz w:val="22"/>
          <w:szCs w:val="22"/>
          <w:lang w:eastAsia="en-US"/>
        </w:rPr>
      </w:pPr>
    </w:p>
    <w:p w:rsidR="00AA0957" w:rsidRDefault="00AA0957"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Ello se afirma, con base en las normas </w:t>
      </w:r>
      <w:r w:rsidR="00AA24D1">
        <w:rPr>
          <w:rFonts w:ascii="Palatino Linotype" w:eastAsia="Calibri" w:hAnsi="Palatino Linotype" w:cs="Tahoma"/>
          <w:bCs/>
          <w:sz w:val="22"/>
          <w:szCs w:val="22"/>
          <w:lang w:eastAsia="en-US"/>
        </w:rPr>
        <w:t>analizadas</w:t>
      </w:r>
      <w:r>
        <w:rPr>
          <w:rFonts w:ascii="Palatino Linotype" w:eastAsia="Calibri" w:hAnsi="Palatino Linotype" w:cs="Tahoma"/>
          <w:bCs/>
          <w:sz w:val="22"/>
          <w:szCs w:val="22"/>
          <w:lang w:eastAsia="en-US"/>
        </w:rPr>
        <w:t xml:space="preserve">, </w:t>
      </w:r>
      <w:r w:rsidR="00AA24D1">
        <w:rPr>
          <w:rFonts w:ascii="Palatino Linotype" w:eastAsia="Calibri" w:hAnsi="Palatino Linotype" w:cs="Tahoma"/>
          <w:bCs/>
          <w:sz w:val="22"/>
          <w:szCs w:val="22"/>
          <w:lang w:eastAsia="en-US"/>
        </w:rPr>
        <w:t xml:space="preserve">además de </w:t>
      </w:r>
      <w:r w:rsidR="00453D6D">
        <w:rPr>
          <w:rFonts w:ascii="Palatino Linotype" w:eastAsia="Calibri" w:hAnsi="Palatino Linotype" w:cs="Tahoma"/>
          <w:bCs/>
          <w:sz w:val="22"/>
          <w:szCs w:val="22"/>
          <w:lang w:eastAsia="en-US"/>
        </w:rPr>
        <w:t xml:space="preserve">que tanto </w:t>
      </w:r>
      <w:r w:rsidR="00AA24D1">
        <w:rPr>
          <w:rFonts w:ascii="Palatino Linotype" w:eastAsia="Calibri" w:hAnsi="Palatino Linotype" w:cs="Tahoma"/>
          <w:bCs/>
          <w:sz w:val="22"/>
          <w:szCs w:val="22"/>
          <w:lang w:eastAsia="en-US"/>
        </w:rPr>
        <w:t>la Dirección de Obras Públicas</w:t>
      </w:r>
      <w:r w:rsidR="00453D6D">
        <w:rPr>
          <w:rFonts w:ascii="Palatino Linotype" w:eastAsia="Calibri" w:hAnsi="Palatino Linotype" w:cs="Tahoma"/>
          <w:bCs/>
          <w:sz w:val="22"/>
          <w:szCs w:val="22"/>
          <w:lang w:eastAsia="en-US"/>
        </w:rPr>
        <w:t xml:space="preserve"> como </w:t>
      </w:r>
      <w:r w:rsidR="00AA24D1" w:rsidRPr="00AA24D1">
        <w:rPr>
          <w:rFonts w:ascii="Palatino Linotype" w:eastAsia="Calibri" w:hAnsi="Palatino Linotype" w:cs="Tahoma"/>
          <w:b/>
          <w:bCs/>
          <w:sz w:val="22"/>
          <w:szCs w:val="22"/>
          <w:lang w:eastAsia="en-US"/>
        </w:rPr>
        <w:t>la Tesorería Municipal cuenta</w:t>
      </w:r>
      <w:r w:rsidR="00453D6D">
        <w:rPr>
          <w:rFonts w:ascii="Palatino Linotype" w:eastAsia="Calibri" w:hAnsi="Palatino Linotype" w:cs="Tahoma"/>
          <w:b/>
          <w:bCs/>
          <w:sz w:val="22"/>
          <w:szCs w:val="22"/>
          <w:lang w:eastAsia="en-US"/>
        </w:rPr>
        <w:t>n</w:t>
      </w:r>
      <w:r w:rsidR="00AA24D1" w:rsidRPr="00AA24D1">
        <w:rPr>
          <w:rFonts w:ascii="Palatino Linotype" w:eastAsia="Calibri" w:hAnsi="Palatino Linotype" w:cs="Tahoma"/>
          <w:b/>
          <w:bCs/>
          <w:sz w:val="22"/>
          <w:szCs w:val="22"/>
          <w:lang w:eastAsia="en-US"/>
        </w:rPr>
        <w:t xml:space="preserve"> con atribuciones para conocer sobre los recursos públicos destinados a la planeación, programación, presupuestación, adjudicación, contratación, ejecución y control de la obra pública</w:t>
      </w:r>
      <w:r w:rsidR="00AA24D1">
        <w:rPr>
          <w:rFonts w:ascii="Palatino Linotype" w:eastAsia="Calibri" w:hAnsi="Palatino Linotype" w:cs="Tahoma"/>
          <w:bCs/>
          <w:sz w:val="22"/>
          <w:szCs w:val="22"/>
          <w:lang w:eastAsia="en-US"/>
        </w:rPr>
        <w:t>.</w:t>
      </w:r>
    </w:p>
    <w:p w:rsidR="00AA24D1" w:rsidRDefault="00AA24D1" w:rsidP="00EF7AFC">
      <w:pPr>
        <w:spacing w:line="360" w:lineRule="auto"/>
        <w:jc w:val="both"/>
        <w:rPr>
          <w:rFonts w:ascii="Palatino Linotype" w:eastAsia="Calibri" w:hAnsi="Palatino Linotype" w:cs="Tahoma"/>
          <w:bCs/>
          <w:sz w:val="22"/>
          <w:szCs w:val="22"/>
          <w:lang w:eastAsia="en-US"/>
        </w:rPr>
      </w:pPr>
    </w:p>
    <w:p w:rsidR="00AA24D1" w:rsidRDefault="00AA24D1"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Consecuentemente, </w:t>
      </w:r>
      <w:r w:rsidRPr="00AA24D1">
        <w:rPr>
          <w:rFonts w:ascii="Palatino Linotype" w:eastAsia="Calibri" w:hAnsi="Palatino Linotype" w:cs="Tahoma"/>
          <w:b/>
          <w:bCs/>
          <w:sz w:val="22"/>
          <w:szCs w:val="22"/>
          <w:u w:val="single"/>
          <w:lang w:eastAsia="en-US"/>
        </w:rPr>
        <w:t>el agravio manifestado por el Particular, referente a que el Sujeto Obligado le negó la información, resulta fundado</w:t>
      </w:r>
      <w:r>
        <w:rPr>
          <w:rFonts w:ascii="Palatino Linotype" w:eastAsia="Calibri" w:hAnsi="Palatino Linotype" w:cs="Tahoma"/>
          <w:bCs/>
          <w:sz w:val="22"/>
          <w:szCs w:val="22"/>
          <w:lang w:eastAsia="en-US"/>
        </w:rPr>
        <w:t xml:space="preserve">, pues este último genera, administra o posee, en usos de sus atribuciones, documentos que pueden satisfacer las pretensiones del ahora recurrente. Al respecto, es importante retomar que, al resultar fundado el agravio señalado, </w:t>
      </w:r>
      <w:r w:rsidRPr="00AA24D1">
        <w:rPr>
          <w:rFonts w:ascii="Palatino Linotype" w:eastAsia="Calibri" w:hAnsi="Palatino Linotype" w:cs="Tahoma"/>
          <w:bCs/>
          <w:sz w:val="22"/>
          <w:szCs w:val="22"/>
          <w:lang w:eastAsia="en-US"/>
        </w:rPr>
        <w:t xml:space="preserve">para dejar sin efectos </w:t>
      </w:r>
      <w:r>
        <w:rPr>
          <w:rFonts w:ascii="Palatino Linotype" w:eastAsia="Calibri" w:hAnsi="Palatino Linotype" w:cs="Tahoma"/>
          <w:bCs/>
          <w:sz w:val="22"/>
          <w:szCs w:val="22"/>
          <w:lang w:eastAsia="en-US"/>
        </w:rPr>
        <w:t>la respuesta</w:t>
      </w:r>
      <w:r w:rsidRPr="00AA24D1">
        <w:rPr>
          <w:rFonts w:ascii="Palatino Linotype" w:eastAsia="Calibri" w:hAnsi="Palatino Linotype" w:cs="Tahoma"/>
          <w:bCs/>
          <w:sz w:val="22"/>
          <w:szCs w:val="22"/>
          <w:lang w:eastAsia="en-US"/>
        </w:rPr>
        <w:t xml:space="preserve"> impugnad</w:t>
      </w:r>
      <w:r>
        <w:rPr>
          <w:rFonts w:ascii="Palatino Linotype" w:eastAsia="Calibri" w:hAnsi="Palatino Linotype" w:cs="Tahoma"/>
          <w:bCs/>
          <w:sz w:val="22"/>
          <w:szCs w:val="22"/>
          <w:lang w:eastAsia="en-US"/>
        </w:rPr>
        <w:t>a</w:t>
      </w:r>
      <w:r w:rsidRPr="00AA24D1">
        <w:rPr>
          <w:rFonts w:ascii="Palatino Linotype" w:eastAsia="Calibri" w:hAnsi="Palatino Linotype" w:cs="Tahoma"/>
          <w:bCs/>
          <w:sz w:val="22"/>
          <w:szCs w:val="22"/>
          <w:lang w:eastAsia="en-US"/>
        </w:rPr>
        <w:t>, es innecesario el estudio de los restantes motivos de queja, pues con ellos no se obtendría algún otro efecto diverso al ya determinado</w:t>
      </w:r>
      <w:r>
        <w:rPr>
          <w:rFonts w:ascii="Palatino Linotype" w:eastAsia="Calibri" w:hAnsi="Palatino Linotype" w:cs="Tahoma"/>
          <w:bCs/>
          <w:sz w:val="22"/>
          <w:szCs w:val="22"/>
          <w:lang w:eastAsia="en-US"/>
        </w:rPr>
        <w:t>.</w:t>
      </w:r>
    </w:p>
    <w:p w:rsidR="00AA24D1" w:rsidRDefault="00AA24D1" w:rsidP="00EF7AFC">
      <w:pPr>
        <w:spacing w:line="360" w:lineRule="auto"/>
        <w:jc w:val="both"/>
        <w:rPr>
          <w:rFonts w:ascii="Palatino Linotype" w:eastAsia="Calibri" w:hAnsi="Palatino Linotype" w:cs="Tahoma"/>
          <w:bCs/>
          <w:sz w:val="22"/>
          <w:szCs w:val="22"/>
          <w:lang w:eastAsia="en-US"/>
        </w:rPr>
      </w:pPr>
    </w:p>
    <w:p w:rsidR="00AA24D1" w:rsidRDefault="00AA24D1"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ahí que, esta autoridad resolutora estime procedente </w:t>
      </w:r>
      <w:r w:rsidRPr="00AA24D1">
        <w:rPr>
          <w:rFonts w:ascii="Palatino Linotype" w:eastAsia="Calibri" w:hAnsi="Palatino Linotype" w:cs="Tahoma"/>
          <w:b/>
          <w:bCs/>
          <w:sz w:val="22"/>
          <w:szCs w:val="22"/>
          <w:lang w:eastAsia="en-US"/>
        </w:rPr>
        <w:t>REVOCAR</w:t>
      </w:r>
      <w:r>
        <w:rPr>
          <w:rFonts w:ascii="Palatino Linotype" w:eastAsia="Calibri" w:hAnsi="Palatino Linotype" w:cs="Tahoma"/>
          <w:bCs/>
          <w:sz w:val="22"/>
          <w:szCs w:val="22"/>
          <w:lang w:eastAsia="en-US"/>
        </w:rPr>
        <w:t xml:space="preserve"> la respuesta otorgada por el Ayuntamiento de Cuautitlán Izcalli a la solicitud de acceso a la información que nos ocupa, </w:t>
      </w:r>
      <w:r w:rsidRPr="0076211E">
        <w:rPr>
          <w:rFonts w:ascii="Palatino Linotype" w:eastAsia="Calibri" w:hAnsi="Palatino Linotype" w:cs="Tahoma"/>
          <w:b/>
          <w:bCs/>
          <w:sz w:val="22"/>
          <w:szCs w:val="22"/>
          <w:lang w:eastAsia="en-US"/>
        </w:rPr>
        <w:t>e instruirle</w:t>
      </w:r>
      <w:r>
        <w:rPr>
          <w:rFonts w:ascii="Palatino Linotype" w:eastAsia="Calibri" w:hAnsi="Palatino Linotype" w:cs="Tahoma"/>
          <w:bCs/>
          <w:sz w:val="22"/>
          <w:szCs w:val="22"/>
          <w:lang w:eastAsia="en-US"/>
        </w:rPr>
        <w:t xml:space="preserve"> a efecto de que proporcione al ahora recurrente</w:t>
      </w:r>
      <w:r w:rsidR="0076211E">
        <w:rPr>
          <w:rFonts w:ascii="Palatino Linotype" w:eastAsia="Calibri" w:hAnsi="Palatino Linotype" w:cs="Tahoma"/>
          <w:bCs/>
          <w:sz w:val="22"/>
          <w:szCs w:val="22"/>
          <w:lang w:eastAsia="en-US"/>
        </w:rPr>
        <w:t xml:space="preserve">, vía SAIMEX, </w:t>
      </w:r>
      <w:r>
        <w:rPr>
          <w:rFonts w:ascii="Palatino Linotype" w:eastAsia="Calibri" w:hAnsi="Palatino Linotype" w:cs="Tahoma"/>
          <w:bCs/>
          <w:sz w:val="22"/>
          <w:szCs w:val="22"/>
          <w:lang w:eastAsia="en-US"/>
        </w:rPr>
        <w:t xml:space="preserve">los documentos que contienen información sobre </w:t>
      </w:r>
      <w:r w:rsidRPr="00AA24D1">
        <w:rPr>
          <w:rFonts w:ascii="Palatino Linotype" w:eastAsia="Calibri" w:hAnsi="Palatino Linotype" w:cs="Tahoma"/>
          <w:bCs/>
          <w:sz w:val="22"/>
          <w:szCs w:val="22"/>
          <w:lang w:eastAsia="en-US"/>
        </w:rPr>
        <w:t>la cantidad de recursos destinados a la reparación y repavimentación de las Avenidas Paseos del Alba, de los Fresnos y Dr. Jorge Jiménez Cantú, en el presente año; el tipo de material con el que se ha efectuado la reparación y, la ficha técnica de las obras referidas</w:t>
      </w:r>
      <w:r>
        <w:rPr>
          <w:rFonts w:ascii="Palatino Linotype" w:eastAsia="Calibri" w:hAnsi="Palatino Linotype" w:cs="Tahoma"/>
          <w:bCs/>
          <w:sz w:val="22"/>
          <w:szCs w:val="22"/>
          <w:lang w:eastAsia="en-US"/>
        </w:rPr>
        <w:t xml:space="preserve">; mismos que podrían ser, de manera enunciativa mas no limitativa, </w:t>
      </w:r>
      <w:r w:rsidRPr="00AA24D1">
        <w:rPr>
          <w:rFonts w:ascii="Palatino Linotype" w:eastAsia="Calibri" w:hAnsi="Palatino Linotype" w:cs="Tahoma"/>
          <w:bCs/>
          <w:sz w:val="22"/>
          <w:szCs w:val="22"/>
          <w:lang w:eastAsia="en-US"/>
        </w:rPr>
        <w:t>las investigaciones, las asesorías y consultorías especializadas, los estudios y proyectos técnicos y de pre</w:t>
      </w:r>
      <w:r w:rsidR="00453D6D">
        <w:rPr>
          <w:rFonts w:ascii="Palatino Linotype" w:eastAsia="Calibri" w:hAnsi="Palatino Linotype" w:cs="Tahoma"/>
          <w:bCs/>
          <w:sz w:val="22"/>
          <w:szCs w:val="22"/>
          <w:lang w:eastAsia="en-US"/>
        </w:rPr>
        <w:t xml:space="preserve"> </w:t>
      </w:r>
      <w:r w:rsidRPr="00AA24D1">
        <w:rPr>
          <w:rFonts w:ascii="Palatino Linotype" w:eastAsia="Calibri" w:hAnsi="Palatino Linotype" w:cs="Tahoma"/>
          <w:bCs/>
          <w:sz w:val="22"/>
          <w:szCs w:val="22"/>
          <w:lang w:eastAsia="en-US"/>
        </w:rPr>
        <w:t xml:space="preserve">inversión, así como los servicios profesionales de supervisión y dirección técnica: el contrato de la obra, pues allí se especifican los servicios contendrán la descripción </w:t>
      </w:r>
      <w:r w:rsidRPr="00AA24D1">
        <w:rPr>
          <w:rFonts w:ascii="Palatino Linotype" w:eastAsia="Calibri" w:hAnsi="Palatino Linotype" w:cs="Tahoma"/>
          <w:bCs/>
          <w:sz w:val="22"/>
          <w:szCs w:val="22"/>
          <w:lang w:eastAsia="en-US"/>
        </w:rPr>
        <w:lastRenderedPageBreak/>
        <w:t>pormenorizada de los trabajos que se deban ejecutar, y se acompaña de los proyectos, planos, especificaciones, programas y presupuestos; así como la Cédula de Relación de Obras Planificadas y Realizadas con el Fondo de Aportaciones para la Infraestructura Social Municipal y de las Demarcaciones Territoriales del Distrito Federal; el Informe Mensual de Obras por Administración; Informe Mensual de Obras por Contrato; o el Informe Mensual de Reparaciones y Mantenimientos</w:t>
      </w:r>
      <w:r w:rsidR="0076211E">
        <w:rPr>
          <w:rFonts w:ascii="Palatino Linotype" w:eastAsia="Calibri" w:hAnsi="Palatino Linotype" w:cs="Tahoma"/>
          <w:bCs/>
          <w:sz w:val="22"/>
          <w:szCs w:val="22"/>
          <w:lang w:eastAsia="en-US"/>
        </w:rPr>
        <w:t>.</w:t>
      </w:r>
    </w:p>
    <w:p w:rsidR="0076211E" w:rsidRDefault="0076211E" w:rsidP="00EF7AFC">
      <w:pPr>
        <w:spacing w:line="360" w:lineRule="auto"/>
        <w:jc w:val="both"/>
        <w:rPr>
          <w:rFonts w:ascii="Palatino Linotype" w:eastAsia="Calibri" w:hAnsi="Palatino Linotype" w:cs="Tahoma"/>
          <w:bCs/>
          <w:sz w:val="22"/>
          <w:szCs w:val="22"/>
          <w:lang w:eastAsia="en-US"/>
        </w:rPr>
      </w:pPr>
    </w:p>
    <w:p w:rsidR="0076211E" w:rsidRDefault="0076211E"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de considerarse que, si alguno de los documentos que pudieran satisfacer las pretensiones del Particular, contiene información susceptible de clasificarse, el Sujeto Obligado deberá apegarse a lo dispuesto en la materia por la Ley de Transparencia y Acceso a la Información Pública del Estado de México y Municipios.</w:t>
      </w:r>
    </w:p>
    <w:p w:rsidR="0055438C" w:rsidRDefault="0055438C" w:rsidP="00EF7AFC">
      <w:pPr>
        <w:spacing w:line="360" w:lineRule="auto"/>
        <w:jc w:val="both"/>
        <w:rPr>
          <w:rFonts w:ascii="Palatino Linotype" w:eastAsia="Calibri" w:hAnsi="Palatino Linotype" w:cs="Tahoma"/>
          <w:bCs/>
          <w:sz w:val="22"/>
          <w:szCs w:val="22"/>
          <w:lang w:eastAsia="en-US"/>
        </w:rPr>
      </w:pPr>
    </w:p>
    <w:p w:rsidR="00CE654B" w:rsidRDefault="0055438C" w:rsidP="00E10FB5">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En efecto, toda la información relacionada con el ejercicio de recursos es pública; </w:t>
      </w:r>
      <w:r w:rsidR="00CE654B">
        <w:rPr>
          <w:rFonts w:ascii="Palatino Linotype" w:eastAsia="Calibri" w:hAnsi="Palatino Linotype" w:cs="Tahoma"/>
          <w:bCs/>
          <w:sz w:val="22"/>
          <w:szCs w:val="22"/>
          <w:lang w:eastAsia="en-US"/>
        </w:rPr>
        <w:t xml:space="preserve"> asimismo, se debe tener presente </w:t>
      </w:r>
      <w:r w:rsidR="00317331">
        <w:rPr>
          <w:rFonts w:ascii="Palatino Linotype" w:eastAsia="Calibri" w:hAnsi="Palatino Linotype" w:cs="Tahoma"/>
          <w:bCs/>
          <w:sz w:val="22"/>
          <w:szCs w:val="22"/>
          <w:lang w:eastAsia="en-US"/>
        </w:rPr>
        <w:t xml:space="preserve">que el </w:t>
      </w:r>
      <w:r w:rsidR="00317331" w:rsidRPr="00317331">
        <w:rPr>
          <w:rFonts w:ascii="Palatino Linotype" w:eastAsia="Calibri" w:hAnsi="Palatino Linotype" w:cs="Tahoma"/>
          <w:bCs/>
          <w:sz w:val="22"/>
          <w:szCs w:val="22"/>
          <w:lang w:eastAsia="en-US"/>
        </w:rPr>
        <w:t xml:space="preserve">Registro Federal de Contribuyentes </w:t>
      </w:r>
      <w:r w:rsidR="00317331">
        <w:rPr>
          <w:rFonts w:ascii="Palatino Linotype" w:eastAsia="Calibri" w:hAnsi="Palatino Linotype" w:cs="Tahoma"/>
          <w:bCs/>
          <w:sz w:val="22"/>
          <w:szCs w:val="22"/>
          <w:lang w:eastAsia="en-US"/>
        </w:rPr>
        <w:t>–RFC- cuando permite verificar el cumplimiento de requisitos legales no puede ser clasificado</w:t>
      </w:r>
      <w:r w:rsidR="006D2A2B">
        <w:rPr>
          <w:rFonts w:ascii="Palatino Linotype" w:eastAsia="Calibri" w:hAnsi="Palatino Linotype" w:cs="Tahoma"/>
          <w:bCs/>
          <w:sz w:val="22"/>
          <w:szCs w:val="22"/>
          <w:lang w:eastAsia="en-US"/>
        </w:rPr>
        <w:t xml:space="preserve"> </w:t>
      </w:r>
      <w:bookmarkStart w:id="3" w:name="_GoBack"/>
      <w:bookmarkEnd w:id="3"/>
      <w:r w:rsidR="006D2A2B">
        <w:rPr>
          <w:rFonts w:ascii="Palatino Linotype" w:eastAsia="Calibri" w:hAnsi="Palatino Linotype" w:cs="Tahoma"/>
          <w:bCs/>
          <w:sz w:val="22"/>
          <w:szCs w:val="22"/>
          <w:lang w:eastAsia="en-US"/>
        </w:rPr>
        <w:t>como confidencial</w:t>
      </w:r>
      <w:r w:rsidR="00317331">
        <w:rPr>
          <w:rFonts w:ascii="Palatino Linotype" w:eastAsia="Calibri" w:hAnsi="Palatino Linotype" w:cs="Tahoma"/>
          <w:bCs/>
          <w:sz w:val="22"/>
          <w:szCs w:val="22"/>
          <w:lang w:eastAsia="en-US"/>
        </w:rPr>
        <w:t xml:space="preserve">, más aún cuando se trata de personas jurídico-colectivas como lo precisar el criterio histórico </w:t>
      </w:r>
      <w:r w:rsidR="00317331" w:rsidRPr="00317331">
        <w:rPr>
          <w:rFonts w:ascii="Palatino Linotype" w:eastAsia="Calibri" w:hAnsi="Palatino Linotype" w:cs="Tahoma"/>
          <w:bCs/>
          <w:sz w:val="22"/>
          <w:szCs w:val="22"/>
          <w:lang w:eastAsia="en-US"/>
        </w:rPr>
        <w:t>1/2014</w:t>
      </w:r>
      <w:r w:rsidR="00317331">
        <w:rPr>
          <w:rFonts w:ascii="Palatino Linotype" w:eastAsia="Calibri" w:hAnsi="Palatino Linotype" w:cs="Tahoma"/>
          <w:bCs/>
          <w:sz w:val="22"/>
          <w:szCs w:val="22"/>
          <w:lang w:eastAsia="en-US"/>
        </w:rPr>
        <w:t xml:space="preserve"> “</w:t>
      </w:r>
      <w:r w:rsidR="00317331" w:rsidRPr="00317331">
        <w:rPr>
          <w:rFonts w:ascii="Palatino Linotype" w:eastAsia="Calibri" w:hAnsi="Palatino Linotype" w:cs="Tahoma"/>
          <w:bCs/>
          <w:sz w:val="22"/>
          <w:szCs w:val="22"/>
          <w:lang w:eastAsia="en-US"/>
        </w:rPr>
        <w:t>Denominación o razón social, y Registro Federal de Contribuyentes de personas morales, no constituyen información confidencial.</w:t>
      </w:r>
      <w:r w:rsidR="00317331">
        <w:rPr>
          <w:rFonts w:ascii="Palatino Linotype" w:eastAsia="Calibri" w:hAnsi="Palatino Linotype" w:cs="Tahoma"/>
          <w:bCs/>
          <w:sz w:val="22"/>
          <w:szCs w:val="22"/>
          <w:lang w:eastAsia="en-US"/>
        </w:rPr>
        <w:t xml:space="preserve">”, del ahora denominado Instituto Nacional de Transparencia, Acceso a la Información y Protección de Datos Personales –INAI-, motivo por el cual, con base en lo expuesto, en caso de que el sujeto Obligado advierta que los documentos que dan respuesta a la solicitud de acceso a la información contengan partes o secciones </w:t>
      </w:r>
      <w:r w:rsidR="00317331" w:rsidRPr="00D05497">
        <w:rPr>
          <w:rFonts w:ascii="Palatino Linotype" w:eastAsia="Calibri" w:hAnsi="Palatino Linotype" w:cs="Tahoma"/>
          <w:bCs/>
          <w:sz w:val="22"/>
          <w:szCs w:val="22"/>
          <w:lang w:eastAsia="en-US"/>
        </w:rPr>
        <w:t>clasificadas como reservadas o confidenciales, deberán elaborar la respectiva versión pública, la cual deberá ser aprobada por el Comité de Transparencia del Ayuntamiento y proporcionar junto con la versión pública el acuerdo</w:t>
      </w:r>
      <w:r w:rsidR="00D05497" w:rsidRPr="00D05497">
        <w:rPr>
          <w:rFonts w:ascii="Palatino Linotype" w:eastAsia="Calibri" w:hAnsi="Palatino Linotype" w:cs="Tahoma"/>
          <w:bCs/>
          <w:sz w:val="22"/>
          <w:szCs w:val="22"/>
          <w:lang w:eastAsia="en-US"/>
        </w:rPr>
        <w:t xml:space="preserve"> al Recurrente, </w:t>
      </w:r>
      <w:r w:rsidR="00D05497" w:rsidRPr="00D05497">
        <w:rPr>
          <w:rFonts w:ascii="Palatino Linotype" w:hAnsi="Palatino Linotype" w:cs="Tahoma"/>
          <w:sz w:val="22"/>
          <w:szCs w:val="22"/>
        </w:rPr>
        <w:t>de conformidad con lo establecido en los artículos 125</w:t>
      </w:r>
      <w:r w:rsidR="00D05497" w:rsidRPr="00E10FB5">
        <w:rPr>
          <w:rFonts w:ascii="Palatino Linotype" w:hAnsi="Palatino Linotype" w:cs="Tahoma"/>
          <w:sz w:val="22"/>
          <w:szCs w:val="22"/>
        </w:rPr>
        <w:t>, 128, 129, 132, fracción I, 138 y 149 de la Ley en cita.</w:t>
      </w:r>
    </w:p>
    <w:p w:rsidR="00C7474B" w:rsidRPr="00E10FB5" w:rsidRDefault="00C7474B" w:rsidP="00E10FB5">
      <w:pPr>
        <w:tabs>
          <w:tab w:val="left" w:pos="4962"/>
        </w:tabs>
        <w:spacing w:line="360" w:lineRule="auto"/>
        <w:jc w:val="both"/>
        <w:rPr>
          <w:rFonts w:ascii="Palatino Linotype" w:hAnsi="Palatino Linotype" w:cs="Tahoma"/>
          <w:sz w:val="22"/>
          <w:szCs w:val="22"/>
        </w:rPr>
      </w:pPr>
    </w:p>
    <w:p w:rsidR="00EF7AFC" w:rsidRPr="00054E79" w:rsidRDefault="00EF7AFC" w:rsidP="00EF7AFC">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eastAsia="en-US"/>
        </w:rPr>
        <w:t>Por lo expuesto y fundado, el Pleno de este Instituto:</w:t>
      </w:r>
    </w:p>
    <w:p w:rsidR="001A1AAB" w:rsidRPr="00054E79" w:rsidRDefault="001A1AAB" w:rsidP="00FC1754">
      <w:pPr>
        <w:spacing w:line="360" w:lineRule="auto"/>
        <w:ind w:right="-93"/>
        <w:jc w:val="both"/>
        <w:rPr>
          <w:rFonts w:ascii="Palatino Linotype" w:eastAsia="Calibri" w:hAnsi="Palatino Linotype" w:cs="Tahoma"/>
          <w:bCs/>
          <w:sz w:val="22"/>
          <w:szCs w:val="22"/>
          <w:lang w:val="es-ES_tradnl" w:eastAsia="en-US"/>
        </w:rPr>
      </w:pPr>
    </w:p>
    <w:p w:rsidR="001A1AAB" w:rsidRPr="00054E79" w:rsidRDefault="001A1AAB" w:rsidP="001A1AAB">
      <w:pPr>
        <w:spacing w:line="360" w:lineRule="auto"/>
        <w:ind w:right="-93"/>
        <w:jc w:val="center"/>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eastAsia="en-US"/>
        </w:rPr>
        <w:t>RESUELVE</w:t>
      </w:r>
    </w:p>
    <w:p w:rsidR="001A1AAB" w:rsidRPr="0076211E" w:rsidRDefault="001A1AAB" w:rsidP="0076211E">
      <w:pPr>
        <w:spacing w:line="360" w:lineRule="auto"/>
        <w:jc w:val="both"/>
        <w:rPr>
          <w:rFonts w:ascii="Palatino Linotype" w:eastAsia="Calibri" w:hAnsi="Palatino Linotype" w:cs="Tahoma"/>
          <w:bCs/>
          <w:sz w:val="22"/>
          <w:szCs w:val="22"/>
          <w:lang w:eastAsia="en-US"/>
        </w:rPr>
      </w:pPr>
    </w:p>
    <w:p w:rsidR="0076211E" w:rsidRPr="0076211E" w:rsidRDefault="0076211E" w:rsidP="0076211E">
      <w:pPr>
        <w:spacing w:line="360" w:lineRule="auto"/>
        <w:jc w:val="both"/>
        <w:rPr>
          <w:rFonts w:ascii="Palatino Linotype" w:hAnsi="Palatino Linotype" w:cs="Arial"/>
          <w:sz w:val="22"/>
          <w:szCs w:val="22"/>
        </w:rPr>
      </w:pPr>
      <w:r w:rsidRPr="0076211E">
        <w:rPr>
          <w:rFonts w:ascii="Palatino Linotype" w:hAnsi="Palatino Linotype" w:cs="Arial"/>
          <w:b/>
          <w:bCs/>
          <w:color w:val="222222"/>
          <w:sz w:val="22"/>
          <w:szCs w:val="22"/>
          <w:lang w:eastAsia="es-MX"/>
        </w:rPr>
        <w:t>PRIMERO</w:t>
      </w:r>
      <w:r w:rsidRPr="0076211E">
        <w:rPr>
          <w:rFonts w:ascii="Palatino Linotype" w:hAnsi="Palatino Linotype" w:cs="Arial"/>
          <w:sz w:val="22"/>
          <w:szCs w:val="22"/>
        </w:rPr>
        <w:t xml:space="preserve">. </w:t>
      </w:r>
      <w:r w:rsidRPr="0076211E">
        <w:rPr>
          <w:rFonts w:ascii="Palatino Linotype" w:hAnsi="Palatino Linotype" w:cs="Arial"/>
          <w:b/>
          <w:sz w:val="22"/>
          <w:szCs w:val="22"/>
        </w:rPr>
        <w:t>Resulta fundado el agravio planteado por</w:t>
      </w:r>
      <w:r w:rsidRPr="0076211E">
        <w:rPr>
          <w:rFonts w:ascii="Palatino Linotype" w:hAnsi="Palatino Linotype" w:cs="Arial"/>
          <w:sz w:val="22"/>
          <w:szCs w:val="22"/>
        </w:rPr>
        <w:t xml:space="preserve"> </w:t>
      </w:r>
      <w:r>
        <w:rPr>
          <w:rFonts w:ascii="Palatino Linotype" w:hAnsi="Palatino Linotype" w:cs="Arial"/>
          <w:b/>
          <w:sz w:val="22"/>
          <w:szCs w:val="22"/>
        </w:rPr>
        <w:t>EL</w:t>
      </w:r>
      <w:r w:rsidRPr="0076211E">
        <w:rPr>
          <w:rFonts w:ascii="Palatino Linotype" w:hAnsi="Palatino Linotype" w:cs="Arial"/>
          <w:b/>
          <w:sz w:val="22"/>
          <w:szCs w:val="22"/>
        </w:rPr>
        <w:t xml:space="preserve"> RECURRENTE</w:t>
      </w:r>
      <w:r w:rsidRPr="0076211E">
        <w:rPr>
          <w:rFonts w:ascii="Palatino Linotype" w:hAnsi="Palatino Linotype" w:cs="Arial"/>
          <w:sz w:val="22"/>
          <w:szCs w:val="22"/>
        </w:rPr>
        <w:t xml:space="preserve"> en términos del Considerando </w:t>
      </w:r>
      <w:r>
        <w:rPr>
          <w:rFonts w:ascii="Palatino Linotype" w:hAnsi="Palatino Linotype" w:cs="Arial"/>
          <w:b/>
          <w:sz w:val="22"/>
          <w:szCs w:val="22"/>
        </w:rPr>
        <w:t>CUARTO</w:t>
      </w:r>
      <w:r w:rsidRPr="0076211E">
        <w:rPr>
          <w:rFonts w:ascii="Palatino Linotype" w:hAnsi="Palatino Linotype" w:cs="Arial"/>
          <w:sz w:val="22"/>
          <w:szCs w:val="22"/>
        </w:rPr>
        <w:t xml:space="preserve"> de esta Resolución.</w:t>
      </w:r>
    </w:p>
    <w:p w:rsidR="0076211E" w:rsidRPr="0076211E" w:rsidRDefault="0076211E" w:rsidP="0076211E">
      <w:pPr>
        <w:spacing w:line="360" w:lineRule="auto"/>
        <w:jc w:val="both"/>
        <w:rPr>
          <w:rFonts w:ascii="Palatino Linotype" w:hAnsi="Palatino Linotype" w:cs="Arial"/>
          <w:sz w:val="22"/>
          <w:szCs w:val="22"/>
        </w:rPr>
      </w:pPr>
    </w:p>
    <w:p w:rsidR="006D2A2B" w:rsidRDefault="0076211E" w:rsidP="0076211E">
      <w:pPr>
        <w:spacing w:line="360" w:lineRule="auto"/>
        <w:jc w:val="both"/>
        <w:rPr>
          <w:rFonts w:ascii="Palatino Linotype" w:eastAsia="Calibri" w:hAnsi="Palatino Linotype" w:cs="Arial"/>
          <w:b/>
          <w:bCs/>
          <w:sz w:val="22"/>
          <w:szCs w:val="22"/>
        </w:rPr>
      </w:pPr>
      <w:r w:rsidRPr="0076211E">
        <w:rPr>
          <w:rFonts w:ascii="Palatino Linotype" w:hAnsi="Palatino Linotype" w:cs="Arial"/>
          <w:b/>
          <w:bCs/>
          <w:color w:val="222222"/>
          <w:sz w:val="22"/>
          <w:szCs w:val="22"/>
          <w:lang w:eastAsia="es-MX"/>
        </w:rPr>
        <w:t>SEGUNDO</w:t>
      </w:r>
      <w:r w:rsidRPr="0076211E">
        <w:rPr>
          <w:rFonts w:ascii="Palatino Linotype" w:eastAsia="Calibri" w:hAnsi="Palatino Linotype" w:cs="Arial"/>
          <w:b/>
          <w:bCs/>
          <w:sz w:val="22"/>
          <w:szCs w:val="22"/>
        </w:rPr>
        <w:t xml:space="preserve">. </w:t>
      </w:r>
      <w:r w:rsidRPr="0076211E">
        <w:rPr>
          <w:rFonts w:ascii="Palatino Linotype" w:eastAsia="Calibri" w:hAnsi="Palatino Linotype" w:cs="Arial"/>
          <w:bCs/>
          <w:sz w:val="22"/>
          <w:szCs w:val="22"/>
        </w:rPr>
        <w:t>Se</w:t>
      </w:r>
      <w:r w:rsidRPr="0076211E">
        <w:rPr>
          <w:rFonts w:ascii="Palatino Linotype" w:eastAsia="Calibri" w:hAnsi="Palatino Linotype" w:cs="Arial"/>
          <w:b/>
          <w:bCs/>
          <w:sz w:val="22"/>
          <w:szCs w:val="22"/>
        </w:rPr>
        <w:t xml:space="preserve"> REVOCA </w:t>
      </w:r>
      <w:r w:rsidRPr="0076211E">
        <w:rPr>
          <w:rFonts w:ascii="Palatino Linotype" w:eastAsia="Calibri" w:hAnsi="Palatino Linotype" w:cs="Arial"/>
          <w:bCs/>
          <w:sz w:val="22"/>
          <w:szCs w:val="22"/>
        </w:rPr>
        <w:t>la respuesta</w:t>
      </w:r>
      <w:r w:rsidR="006D2A2B">
        <w:rPr>
          <w:rFonts w:ascii="Palatino Linotype" w:eastAsia="Calibri" w:hAnsi="Palatino Linotype" w:cs="Arial"/>
          <w:bCs/>
          <w:sz w:val="22"/>
          <w:szCs w:val="22"/>
        </w:rPr>
        <w:t xml:space="preserve"> proporcionada por el Sujeto Obligado</w:t>
      </w:r>
      <w:r w:rsidRPr="0076211E">
        <w:rPr>
          <w:rFonts w:ascii="Palatino Linotype" w:eastAsia="Calibri" w:hAnsi="Palatino Linotype" w:cs="Arial"/>
          <w:bCs/>
          <w:sz w:val="22"/>
          <w:szCs w:val="22"/>
        </w:rPr>
        <w:t xml:space="preserve"> y se</w:t>
      </w:r>
      <w:r w:rsidRPr="0076211E">
        <w:rPr>
          <w:rFonts w:ascii="Palatino Linotype" w:eastAsia="Calibri" w:hAnsi="Palatino Linotype" w:cs="Arial"/>
          <w:b/>
          <w:bCs/>
          <w:sz w:val="22"/>
          <w:szCs w:val="22"/>
        </w:rPr>
        <w:t xml:space="preserve"> </w:t>
      </w:r>
      <w:r w:rsidR="006D2A2B">
        <w:rPr>
          <w:rFonts w:ascii="Palatino Linotype" w:eastAsia="Calibri" w:hAnsi="Palatino Linotype" w:cs="Arial"/>
          <w:b/>
          <w:bCs/>
          <w:sz w:val="22"/>
          <w:szCs w:val="22"/>
        </w:rPr>
        <w:t xml:space="preserve">le </w:t>
      </w:r>
      <w:r w:rsidRPr="0076211E">
        <w:rPr>
          <w:rFonts w:ascii="Palatino Linotype" w:eastAsia="Calibri" w:hAnsi="Palatino Linotype" w:cs="Arial"/>
          <w:b/>
          <w:sz w:val="22"/>
          <w:szCs w:val="22"/>
        </w:rPr>
        <w:t xml:space="preserve">ordena </w:t>
      </w:r>
      <w:r w:rsidRPr="0076211E">
        <w:rPr>
          <w:rFonts w:ascii="Palatino Linotype" w:eastAsia="Calibri" w:hAnsi="Palatino Linotype" w:cs="Arial"/>
          <w:sz w:val="22"/>
          <w:szCs w:val="22"/>
        </w:rPr>
        <w:t>a</w:t>
      </w:r>
      <w:r w:rsidR="006D2A2B">
        <w:rPr>
          <w:rFonts w:ascii="Palatino Linotype" w:eastAsia="Calibri" w:hAnsi="Palatino Linotype" w:cs="Arial"/>
          <w:sz w:val="22"/>
          <w:szCs w:val="22"/>
        </w:rPr>
        <w:t xml:space="preserve"> que</w:t>
      </w:r>
      <w:r w:rsidRPr="0076211E">
        <w:rPr>
          <w:rFonts w:ascii="Palatino Linotype" w:eastAsia="Calibri" w:hAnsi="Palatino Linotype" w:cs="Arial"/>
          <w:b/>
          <w:sz w:val="22"/>
          <w:szCs w:val="22"/>
        </w:rPr>
        <w:t xml:space="preserve"> </w:t>
      </w:r>
      <w:r w:rsidRPr="0076211E">
        <w:rPr>
          <w:rFonts w:ascii="Palatino Linotype" w:eastAsia="Calibri" w:hAnsi="Palatino Linotype" w:cs="Arial"/>
          <w:sz w:val="22"/>
          <w:szCs w:val="22"/>
        </w:rPr>
        <w:t>atienda la solicitud de información</w:t>
      </w:r>
      <w:r>
        <w:rPr>
          <w:rFonts w:ascii="Palatino Linotype" w:eastAsia="Calibri" w:hAnsi="Palatino Linotype" w:cs="Arial"/>
          <w:sz w:val="22"/>
          <w:szCs w:val="22"/>
        </w:rPr>
        <w:t xml:space="preserve"> </w:t>
      </w:r>
      <w:r w:rsidRPr="006D2A2B">
        <w:rPr>
          <w:rFonts w:ascii="Palatino Linotype" w:eastAsia="Calibri" w:hAnsi="Palatino Linotype" w:cs="Arial"/>
          <w:sz w:val="22"/>
          <w:szCs w:val="22"/>
        </w:rPr>
        <w:t xml:space="preserve">y </w:t>
      </w:r>
      <w:r w:rsidRPr="00E10FB5">
        <w:rPr>
          <w:rFonts w:ascii="Palatino Linotype" w:eastAsia="Calibri" w:hAnsi="Palatino Linotype" w:cs="Arial"/>
          <w:bCs/>
          <w:sz w:val="22"/>
          <w:szCs w:val="22"/>
        </w:rPr>
        <w:t>proporcione al ahora recurrente, vía</w:t>
      </w:r>
      <w:r w:rsidR="006D2A2B" w:rsidRPr="00E10FB5">
        <w:rPr>
          <w:rFonts w:ascii="Palatino Linotype" w:eastAsia="Calibri" w:hAnsi="Palatino Linotype" w:cs="Arial"/>
          <w:bCs/>
          <w:sz w:val="22"/>
          <w:szCs w:val="22"/>
        </w:rPr>
        <w:t xml:space="preserve"> el Sistema de Acceso a la Información Mexiquense</w:t>
      </w:r>
      <w:r w:rsidRPr="00E10FB5">
        <w:rPr>
          <w:rFonts w:ascii="Palatino Linotype" w:eastAsia="Calibri" w:hAnsi="Palatino Linotype" w:cs="Arial"/>
          <w:bCs/>
          <w:sz w:val="22"/>
          <w:szCs w:val="22"/>
        </w:rPr>
        <w:t xml:space="preserve"> </w:t>
      </w:r>
      <w:r w:rsidR="006D2A2B" w:rsidRPr="00E10FB5">
        <w:rPr>
          <w:rFonts w:ascii="Palatino Linotype" w:eastAsia="Calibri" w:hAnsi="Palatino Linotype" w:cs="Arial"/>
          <w:bCs/>
          <w:sz w:val="22"/>
          <w:szCs w:val="22"/>
        </w:rPr>
        <w:t>(</w:t>
      </w:r>
      <w:r w:rsidRPr="00E10FB5">
        <w:rPr>
          <w:rFonts w:ascii="Palatino Linotype" w:eastAsia="Calibri" w:hAnsi="Palatino Linotype" w:cs="Arial"/>
          <w:bCs/>
          <w:sz w:val="22"/>
          <w:szCs w:val="22"/>
        </w:rPr>
        <w:t>SAIMEX</w:t>
      </w:r>
      <w:r w:rsidR="006D2A2B" w:rsidRPr="00E10FB5">
        <w:rPr>
          <w:rFonts w:ascii="Palatino Linotype" w:eastAsia="Calibri" w:hAnsi="Palatino Linotype" w:cs="Arial"/>
          <w:bCs/>
          <w:sz w:val="22"/>
          <w:szCs w:val="22"/>
        </w:rPr>
        <w:t>)</w:t>
      </w:r>
      <w:r w:rsidRPr="00E10FB5">
        <w:rPr>
          <w:rFonts w:ascii="Palatino Linotype" w:eastAsia="Calibri" w:hAnsi="Palatino Linotype" w:cs="Arial"/>
          <w:bCs/>
          <w:sz w:val="22"/>
          <w:szCs w:val="22"/>
        </w:rPr>
        <w:t>,</w:t>
      </w:r>
      <w:r w:rsidRPr="0076211E">
        <w:rPr>
          <w:rFonts w:ascii="Palatino Linotype" w:eastAsia="Calibri" w:hAnsi="Palatino Linotype" w:cs="Arial"/>
          <w:b/>
          <w:bCs/>
          <w:sz w:val="22"/>
          <w:szCs w:val="22"/>
        </w:rPr>
        <w:t xml:space="preserve"> los documentos </w:t>
      </w:r>
      <w:r w:rsidR="00E10FB5">
        <w:rPr>
          <w:rFonts w:ascii="Palatino Linotype" w:eastAsia="Calibri" w:hAnsi="Palatino Linotype" w:cs="Arial"/>
          <w:b/>
          <w:bCs/>
          <w:sz w:val="22"/>
          <w:szCs w:val="22"/>
        </w:rPr>
        <w:t xml:space="preserve">generados del primero de enero al  </w:t>
      </w:r>
      <w:r w:rsidR="00E10FB5" w:rsidRPr="00E10FB5">
        <w:rPr>
          <w:rFonts w:ascii="Palatino Linotype" w:eastAsia="Calibri" w:hAnsi="Palatino Linotype" w:cs="Arial"/>
          <w:b/>
          <w:bCs/>
          <w:sz w:val="22"/>
          <w:szCs w:val="22"/>
        </w:rPr>
        <w:t>siete de septiembre de dos mil dieciocho</w:t>
      </w:r>
      <w:r w:rsidR="00E10FB5">
        <w:rPr>
          <w:rFonts w:ascii="Palatino Linotype" w:eastAsia="Calibri" w:hAnsi="Palatino Linotype" w:cs="Arial"/>
          <w:b/>
          <w:bCs/>
          <w:sz w:val="22"/>
          <w:szCs w:val="22"/>
        </w:rPr>
        <w:t xml:space="preserve">, </w:t>
      </w:r>
      <w:r w:rsidRPr="0076211E">
        <w:rPr>
          <w:rFonts w:ascii="Palatino Linotype" w:eastAsia="Calibri" w:hAnsi="Palatino Linotype" w:cs="Arial"/>
          <w:b/>
          <w:bCs/>
          <w:sz w:val="22"/>
          <w:szCs w:val="22"/>
        </w:rPr>
        <w:t xml:space="preserve">que </w:t>
      </w:r>
      <w:r w:rsidR="006D2A2B">
        <w:rPr>
          <w:rFonts w:ascii="Palatino Linotype" w:eastAsia="Calibri" w:hAnsi="Palatino Linotype" w:cs="Arial"/>
          <w:b/>
          <w:bCs/>
          <w:sz w:val="22"/>
          <w:szCs w:val="22"/>
        </w:rPr>
        <w:t xml:space="preserve">den cuenta de la </w:t>
      </w:r>
      <w:r w:rsidRPr="0076211E">
        <w:rPr>
          <w:rFonts w:ascii="Palatino Linotype" w:eastAsia="Calibri" w:hAnsi="Palatino Linotype" w:cs="Arial"/>
          <w:b/>
          <w:bCs/>
          <w:sz w:val="22"/>
          <w:szCs w:val="22"/>
        </w:rPr>
        <w:t>información sobre la cantidad de recursos destinados a la reparación y repavimentación de las Avenidas Paseos del Alba, de los Fresnos y Dr. Jorge Jiménez Cantú; el tipo de material con el que se ha</w:t>
      </w:r>
      <w:r w:rsidR="006D2A2B">
        <w:rPr>
          <w:rFonts w:ascii="Palatino Linotype" w:eastAsia="Calibri" w:hAnsi="Palatino Linotype" w:cs="Arial"/>
          <w:b/>
          <w:bCs/>
          <w:sz w:val="22"/>
          <w:szCs w:val="22"/>
        </w:rPr>
        <w:t>n</w:t>
      </w:r>
      <w:r w:rsidRPr="0076211E">
        <w:rPr>
          <w:rFonts w:ascii="Palatino Linotype" w:eastAsia="Calibri" w:hAnsi="Palatino Linotype" w:cs="Arial"/>
          <w:b/>
          <w:bCs/>
          <w:sz w:val="22"/>
          <w:szCs w:val="22"/>
        </w:rPr>
        <w:t xml:space="preserve"> efectuado la</w:t>
      </w:r>
      <w:r w:rsidR="006D2A2B">
        <w:rPr>
          <w:rFonts w:ascii="Palatino Linotype" w:eastAsia="Calibri" w:hAnsi="Palatino Linotype" w:cs="Arial"/>
          <w:b/>
          <w:bCs/>
          <w:sz w:val="22"/>
          <w:szCs w:val="22"/>
        </w:rPr>
        <w:t>s</w:t>
      </w:r>
      <w:r w:rsidRPr="0076211E">
        <w:rPr>
          <w:rFonts w:ascii="Palatino Linotype" w:eastAsia="Calibri" w:hAnsi="Palatino Linotype" w:cs="Arial"/>
          <w:b/>
          <w:bCs/>
          <w:sz w:val="22"/>
          <w:szCs w:val="22"/>
        </w:rPr>
        <w:t xml:space="preserve"> </w:t>
      </w:r>
      <w:r w:rsidR="006D2A2B" w:rsidRPr="0076211E">
        <w:rPr>
          <w:rFonts w:ascii="Palatino Linotype" w:eastAsia="Calibri" w:hAnsi="Palatino Linotype" w:cs="Arial"/>
          <w:b/>
          <w:bCs/>
          <w:sz w:val="22"/>
          <w:szCs w:val="22"/>
        </w:rPr>
        <w:t>reparac</w:t>
      </w:r>
      <w:r w:rsidR="006D2A2B">
        <w:rPr>
          <w:rFonts w:ascii="Palatino Linotype" w:eastAsia="Calibri" w:hAnsi="Palatino Linotype" w:cs="Arial"/>
          <w:b/>
          <w:bCs/>
          <w:sz w:val="22"/>
          <w:szCs w:val="22"/>
        </w:rPr>
        <w:t>iones</w:t>
      </w:r>
      <w:r w:rsidRPr="0076211E">
        <w:rPr>
          <w:rFonts w:ascii="Palatino Linotype" w:eastAsia="Calibri" w:hAnsi="Palatino Linotype" w:cs="Arial"/>
          <w:b/>
          <w:bCs/>
          <w:sz w:val="22"/>
          <w:szCs w:val="22"/>
        </w:rPr>
        <w:t xml:space="preserve"> y, la</w:t>
      </w:r>
      <w:r w:rsidR="006D2A2B">
        <w:rPr>
          <w:rFonts w:ascii="Palatino Linotype" w:eastAsia="Calibri" w:hAnsi="Palatino Linotype" w:cs="Arial"/>
          <w:b/>
          <w:bCs/>
          <w:sz w:val="22"/>
          <w:szCs w:val="22"/>
        </w:rPr>
        <w:t>s</w:t>
      </w:r>
      <w:r w:rsidRPr="0076211E">
        <w:rPr>
          <w:rFonts w:ascii="Palatino Linotype" w:eastAsia="Calibri" w:hAnsi="Palatino Linotype" w:cs="Arial"/>
          <w:b/>
          <w:bCs/>
          <w:sz w:val="22"/>
          <w:szCs w:val="22"/>
        </w:rPr>
        <w:t xml:space="preserve"> ficha</w:t>
      </w:r>
      <w:r w:rsidR="006D2A2B">
        <w:rPr>
          <w:rFonts w:ascii="Palatino Linotype" w:eastAsia="Calibri" w:hAnsi="Palatino Linotype" w:cs="Arial"/>
          <w:b/>
          <w:bCs/>
          <w:sz w:val="22"/>
          <w:szCs w:val="22"/>
        </w:rPr>
        <w:t>s</w:t>
      </w:r>
      <w:r w:rsidRPr="0076211E">
        <w:rPr>
          <w:rFonts w:ascii="Palatino Linotype" w:eastAsia="Calibri" w:hAnsi="Palatino Linotype" w:cs="Arial"/>
          <w:b/>
          <w:bCs/>
          <w:sz w:val="22"/>
          <w:szCs w:val="22"/>
        </w:rPr>
        <w:t xml:space="preserve"> técnica</w:t>
      </w:r>
      <w:r w:rsidR="006D2A2B">
        <w:rPr>
          <w:rFonts w:ascii="Palatino Linotype" w:eastAsia="Calibri" w:hAnsi="Palatino Linotype" w:cs="Arial"/>
          <w:b/>
          <w:bCs/>
          <w:sz w:val="22"/>
          <w:szCs w:val="22"/>
        </w:rPr>
        <w:t>s</w:t>
      </w:r>
      <w:r w:rsidRPr="0076211E">
        <w:rPr>
          <w:rFonts w:ascii="Palatino Linotype" w:eastAsia="Calibri" w:hAnsi="Palatino Linotype" w:cs="Arial"/>
          <w:b/>
          <w:bCs/>
          <w:sz w:val="22"/>
          <w:szCs w:val="22"/>
        </w:rPr>
        <w:t xml:space="preserve"> de las obras referidas</w:t>
      </w:r>
      <w:r w:rsidR="006D2A2B">
        <w:rPr>
          <w:rFonts w:ascii="Palatino Linotype" w:eastAsia="Calibri" w:hAnsi="Palatino Linotype" w:cs="Arial"/>
          <w:b/>
          <w:bCs/>
          <w:sz w:val="22"/>
          <w:szCs w:val="22"/>
        </w:rPr>
        <w:t>.</w:t>
      </w:r>
    </w:p>
    <w:p w:rsidR="006D2A2B" w:rsidRPr="00E10FB5" w:rsidRDefault="006D2A2B" w:rsidP="0076211E">
      <w:pPr>
        <w:spacing w:line="360" w:lineRule="auto"/>
        <w:jc w:val="both"/>
        <w:rPr>
          <w:rFonts w:ascii="Palatino Linotype" w:eastAsia="Calibri" w:hAnsi="Palatino Linotype" w:cs="Arial"/>
          <w:bCs/>
          <w:sz w:val="22"/>
          <w:szCs w:val="22"/>
        </w:rPr>
      </w:pPr>
    </w:p>
    <w:p w:rsidR="0076211E" w:rsidRPr="00E10FB5" w:rsidRDefault="006D2A2B" w:rsidP="0076211E">
      <w:pPr>
        <w:spacing w:line="360" w:lineRule="auto"/>
        <w:jc w:val="both"/>
        <w:rPr>
          <w:rFonts w:ascii="Palatino Linotype" w:eastAsia="Calibri" w:hAnsi="Palatino Linotype" w:cs="Arial"/>
          <w:bCs/>
          <w:sz w:val="22"/>
          <w:szCs w:val="22"/>
        </w:rPr>
      </w:pPr>
      <w:r w:rsidRPr="00E10FB5">
        <w:rPr>
          <w:rFonts w:ascii="Palatino Linotype" w:eastAsia="Calibri" w:hAnsi="Palatino Linotype" w:cs="Arial"/>
          <w:bCs/>
          <w:sz w:val="22"/>
          <w:szCs w:val="22"/>
        </w:rPr>
        <w:t>En caso de que</w:t>
      </w:r>
      <w:r w:rsidR="0076211E" w:rsidRPr="00E10FB5">
        <w:rPr>
          <w:rFonts w:ascii="Palatino Linotype" w:eastAsia="Calibri" w:hAnsi="Palatino Linotype" w:cs="Arial"/>
          <w:bCs/>
          <w:sz w:val="22"/>
          <w:szCs w:val="22"/>
        </w:rPr>
        <w:t xml:space="preserve">, </w:t>
      </w:r>
      <w:r w:rsidR="00C7474B">
        <w:rPr>
          <w:rFonts w:ascii="Palatino Linotype" w:eastAsia="Calibri" w:hAnsi="Palatino Linotype" w:cs="Arial"/>
          <w:bCs/>
          <w:sz w:val="22"/>
          <w:szCs w:val="22"/>
        </w:rPr>
        <w:t>el o los</w:t>
      </w:r>
      <w:r w:rsidR="0076211E" w:rsidRPr="00E10FB5">
        <w:rPr>
          <w:rFonts w:ascii="Palatino Linotype" w:eastAsia="Calibri" w:hAnsi="Palatino Linotype" w:cs="Arial"/>
          <w:bCs/>
          <w:sz w:val="22"/>
          <w:szCs w:val="22"/>
        </w:rPr>
        <w:t xml:space="preserve"> documentos que pudieran satisfacer las pretensiones del Particular, </w:t>
      </w:r>
      <w:r w:rsidR="00310454" w:rsidRPr="00E10FB5">
        <w:rPr>
          <w:rFonts w:ascii="Palatino Linotype" w:eastAsia="Calibri" w:hAnsi="Palatino Linotype" w:cs="Arial"/>
          <w:bCs/>
          <w:sz w:val="22"/>
          <w:szCs w:val="22"/>
        </w:rPr>
        <w:t>cont</w:t>
      </w:r>
      <w:r w:rsidR="00310454">
        <w:rPr>
          <w:rFonts w:ascii="Palatino Linotype" w:eastAsia="Calibri" w:hAnsi="Palatino Linotype" w:cs="Arial"/>
          <w:bCs/>
          <w:sz w:val="22"/>
          <w:szCs w:val="22"/>
        </w:rPr>
        <w:t>enga</w:t>
      </w:r>
      <w:r w:rsidR="00C7474B">
        <w:rPr>
          <w:rFonts w:ascii="Palatino Linotype" w:eastAsia="Calibri" w:hAnsi="Palatino Linotype" w:cs="Arial"/>
          <w:bCs/>
          <w:sz w:val="22"/>
          <w:szCs w:val="22"/>
        </w:rPr>
        <w:t>n</w:t>
      </w:r>
      <w:r w:rsidR="00310454" w:rsidRPr="00E10FB5">
        <w:rPr>
          <w:rFonts w:ascii="Palatino Linotype" w:eastAsia="Calibri" w:hAnsi="Palatino Linotype" w:cs="Arial"/>
          <w:bCs/>
          <w:sz w:val="22"/>
          <w:szCs w:val="22"/>
        </w:rPr>
        <w:t xml:space="preserve"> </w:t>
      </w:r>
      <w:r w:rsidR="0076211E" w:rsidRPr="00E10FB5">
        <w:rPr>
          <w:rFonts w:ascii="Palatino Linotype" w:eastAsia="Calibri" w:hAnsi="Palatino Linotype" w:cs="Arial"/>
          <w:bCs/>
          <w:sz w:val="22"/>
          <w:szCs w:val="22"/>
        </w:rPr>
        <w:t xml:space="preserve">información susceptible de clasificarse, el Sujeto Obligado deberá </w:t>
      </w:r>
      <w:r w:rsidR="00310454">
        <w:rPr>
          <w:rFonts w:ascii="Palatino Linotype" w:eastAsia="Calibri" w:hAnsi="Palatino Linotype" w:cs="Arial"/>
          <w:bCs/>
          <w:sz w:val="22"/>
          <w:szCs w:val="22"/>
        </w:rPr>
        <w:t xml:space="preserve">entregar la documentación en versión pública, junto con el acuerdo de clasificación emitido por el Comité de Transparencia, de conformidad con </w:t>
      </w:r>
      <w:r w:rsidR="0076211E" w:rsidRPr="00E10FB5">
        <w:rPr>
          <w:rFonts w:ascii="Palatino Linotype" w:eastAsia="Calibri" w:hAnsi="Palatino Linotype" w:cs="Arial"/>
          <w:bCs/>
          <w:sz w:val="22"/>
          <w:szCs w:val="22"/>
        </w:rPr>
        <w:t xml:space="preserve">lo dispuesto en </w:t>
      </w:r>
      <w:r w:rsidR="00310454">
        <w:rPr>
          <w:rFonts w:ascii="Palatino Linotype" w:eastAsia="Calibri" w:hAnsi="Palatino Linotype" w:cs="Arial"/>
          <w:bCs/>
          <w:sz w:val="22"/>
          <w:szCs w:val="22"/>
        </w:rPr>
        <w:t xml:space="preserve">los artículos </w:t>
      </w:r>
      <w:r w:rsidR="00310454" w:rsidRPr="00D05497">
        <w:rPr>
          <w:rFonts w:ascii="Palatino Linotype" w:hAnsi="Palatino Linotype" w:cs="Tahoma"/>
          <w:sz w:val="22"/>
          <w:szCs w:val="22"/>
        </w:rPr>
        <w:t>125</w:t>
      </w:r>
      <w:r w:rsidR="00310454" w:rsidRPr="00FD71FD">
        <w:rPr>
          <w:rFonts w:ascii="Palatino Linotype" w:hAnsi="Palatino Linotype" w:cs="Tahoma"/>
          <w:sz w:val="22"/>
          <w:szCs w:val="22"/>
        </w:rPr>
        <w:t>, 128, 129, 132, fracción I, 138 y 149</w:t>
      </w:r>
      <w:r w:rsidR="00310454">
        <w:rPr>
          <w:rFonts w:ascii="Palatino Linotype" w:hAnsi="Palatino Linotype" w:cs="Tahoma"/>
          <w:sz w:val="22"/>
          <w:szCs w:val="22"/>
        </w:rPr>
        <w:t>,</w:t>
      </w:r>
      <w:r w:rsidR="0076211E" w:rsidRPr="00E10FB5">
        <w:rPr>
          <w:rFonts w:ascii="Palatino Linotype" w:eastAsia="Calibri" w:hAnsi="Palatino Linotype" w:cs="Arial"/>
          <w:bCs/>
          <w:sz w:val="22"/>
          <w:szCs w:val="22"/>
        </w:rPr>
        <w:t xml:space="preserve"> la Ley de Transparencia y Acceso a la Información Pública del Estado de México y Municipios.</w:t>
      </w:r>
    </w:p>
    <w:p w:rsidR="0076211E" w:rsidRPr="0076211E" w:rsidRDefault="0076211E" w:rsidP="0076211E">
      <w:pPr>
        <w:spacing w:line="360" w:lineRule="auto"/>
        <w:jc w:val="both"/>
        <w:rPr>
          <w:rFonts w:ascii="Palatino Linotype" w:hAnsi="Palatino Linotype" w:cs="Arial"/>
          <w:sz w:val="22"/>
          <w:szCs w:val="22"/>
        </w:rPr>
      </w:pPr>
    </w:p>
    <w:p w:rsidR="0076211E" w:rsidRPr="0076211E" w:rsidRDefault="0076211E" w:rsidP="0076211E">
      <w:pPr>
        <w:widowControl w:val="0"/>
        <w:autoSpaceDE w:val="0"/>
        <w:autoSpaceDN w:val="0"/>
        <w:adjustRightInd w:val="0"/>
        <w:spacing w:line="360" w:lineRule="auto"/>
        <w:jc w:val="both"/>
        <w:rPr>
          <w:rFonts w:ascii="Palatino Linotype" w:hAnsi="Palatino Linotype" w:cs="Arial"/>
          <w:b/>
          <w:sz w:val="22"/>
          <w:szCs w:val="22"/>
          <w:lang w:val="es-ES_tradnl"/>
        </w:rPr>
      </w:pPr>
      <w:r w:rsidRPr="0076211E">
        <w:rPr>
          <w:rFonts w:ascii="Palatino Linotype" w:hAnsi="Palatino Linotype" w:cs="Arial"/>
          <w:b/>
          <w:color w:val="000000" w:themeColor="text1"/>
          <w:sz w:val="22"/>
          <w:szCs w:val="22"/>
        </w:rPr>
        <w:t xml:space="preserve">TERCERO. </w:t>
      </w:r>
      <w:r w:rsidRPr="00E10FB5">
        <w:rPr>
          <w:rFonts w:ascii="Palatino Linotype" w:hAnsi="Palatino Linotype"/>
          <w:b/>
          <w:caps/>
          <w:sz w:val="22"/>
          <w:szCs w:val="22"/>
          <w:lang w:eastAsia="es-ES_tradnl"/>
        </w:rPr>
        <w:t>Notifíquese</w:t>
      </w:r>
      <w:r w:rsidRPr="0076211E">
        <w:rPr>
          <w:rFonts w:ascii="Palatino Linotype" w:hAnsi="Palatino Linotype"/>
          <w:sz w:val="22"/>
          <w:szCs w:val="22"/>
          <w:lang w:eastAsia="es-ES_tradnl"/>
        </w:rPr>
        <w:t xml:space="preserve"> </w:t>
      </w:r>
      <w:r w:rsidRPr="0076211E">
        <w:rPr>
          <w:rFonts w:ascii="Palatino Linotype" w:hAnsi="Palatino Linotype"/>
          <w:sz w:val="22"/>
          <w:szCs w:val="22"/>
          <w:shd w:val="clear" w:color="auto" w:fill="FFFFFF"/>
        </w:rPr>
        <w:t>al Titular de la Unidad de Transparencia del</w:t>
      </w:r>
      <w:r w:rsidRPr="0076211E">
        <w:rPr>
          <w:rStyle w:val="apple-converted-space"/>
          <w:rFonts w:ascii="Palatino Linotype" w:hAnsi="Palatino Linotype"/>
          <w:b/>
          <w:sz w:val="22"/>
          <w:szCs w:val="22"/>
          <w:shd w:val="clear" w:color="auto" w:fill="FFFFFF"/>
        </w:rPr>
        <w:t xml:space="preserve"> </w:t>
      </w:r>
      <w:r w:rsidR="00310454" w:rsidRPr="00E10FB5">
        <w:rPr>
          <w:rStyle w:val="apple-converted-space"/>
          <w:rFonts w:ascii="Palatino Linotype" w:hAnsi="Palatino Linotype"/>
          <w:sz w:val="22"/>
          <w:szCs w:val="22"/>
          <w:shd w:val="clear" w:color="auto" w:fill="FFFFFF"/>
        </w:rPr>
        <w:t>Sujeto Obligado</w:t>
      </w:r>
      <w:r w:rsidRPr="00310454">
        <w:rPr>
          <w:rFonts w:ascii="Palatino Linotype" w:hAnsi="Palatino Linotype"/>
          <w:sz w:val="22"/>
          <w:szCs w:val="22"/>
          <w:shd w:val="clear" w:color="auto" w:fill="FFFFFF"/>
        </w:rPr>
        <w:t>,</w:t>
      </w:r>
      <w:r w:rsidRPr="0076211E">
        <w:rPr>
          <w:rFonts w:ascii="Palatino Linotype" w:hAnsi="Palatino Linotype"/>
          <w:sz w:val="22"/>
          <w:szCs w:val="22"/>
          <w:shd w:val="clear" w:color="auto" w:fill="FFFFFF"/>
        </w:rPr>
        <w:t xml:space="preserve"> para que conforme a los artículos 186 último párrafo y 189</w:t>
      </w:r>
      <w:r w:rsidR="00310454">
        <w:rPr>
          <w:rFonts w:ascii="Palatino Linotype" w:hAnsi="Palatino Linotype"/>
          <w:sz w:val="22"/>
          <w:szCs w:val="22"/>
          <w:shd w:val="clear" w:color="auto" w:fill="FFFFFF"/>
        </w:rPr>
        <w:t>,</w:t>
      </w:r>
      <w:r w:rsidRPr="0076211E">
        <w:rPr>
          <w:rFonts w:ascii="Palatino Linotype" w:hAnsi="Palatino Linotype"/>
          <w:sz w:val="22"/>
          <w:szCs w:val="22"/>
          <w:shd w:val="clear" w:color="auto" w:fill="FFFFFF"/>
        </w:rPr>
        <w:t xml:space="preserve"> párrafo segundo</w:t>
      </w:r>
      <w:r w:rsidR="00310454">
        <w:rPr>
          <w:rFonts w:ascii="Palatino Linotype" w:hAnsi="Palatino Linotype"/>
          <w:sz w:val="22"/>
          <w:szCs w:val="22"/>
          <w:shd w:val="clear" w:color="auto" w:fill="FFFFFF"/>
        </w:rPr>
        <w:t>,</w:t>
      </w:r>
      <w:r w:rsidRPr="0076211E">
        <w:rPr>
          <w:rFonts w:ascii="Palatino Linotype" w:hAnsi="Palatino Linotype"/>
          <w:sz w:val="22"/>
          <w:szCs w:val="22"/>
          <w:shd w:val="clear" w:color="auto" w:fill="FFFFFF"/>
        </w:rPr>
        <w:t xml:space="preserve"> de la Ley de Transparencia y Acceso a la Información Pública del Estado de México y Municipios, dé </w:t>
      </w:r>
      <w:r w:rsidRPr="0076211E">
        <w:rPr>
          <w:rFonts w:ascii="Palatino Linotype" w:hAnsi="Palatino Linotype" w:cs="Arial"/>
          <w:sz w:val="22"/>
          <w:szCs w:val="22"/>
        </w:rPr>
        <w:lastRenderedPageBreak/>
        <w:t>cumplimiento</w:t>
      </w:r>
      <w:r w:rsidRPr="0076211E">
        <w:rPr>
          <w:rFonts w:ascii="Palatino Linotype" w:hAnsi="Palatino Linotype"/>
          <w:sz w:val="22"/>
          <w:szCs w:val="22"/>
          <w:shd w:val="clear" w:color="auto" w:fill="FFFFFF"/>
        </w:rPr>
        <w:t xml:space="preserve"> a lo ordenado dentro del plazo de diez días hábiles</w:t>
      </w:r>
      <w:r w:rsidR="00310454">
        <w:rPr>
          <w:rFonts w:ascii="Palatino Linotype" w:hAnsi="Palatino Linotype"/>
          <w:sz w:val="22"/>
          <w:szCs w:val="22"/>
          <w:shd w:val="clear" w:color="auto" w:fill="FFFFFF"/>
        </w:rPr>
        <w:t xml:space="preserve"> e </w:t>
      </w:r>
      <w:r w:rsidRPr="0076211E">
        <w:rPr>
          <w:rFonts w:ascii="Palatino Linotype" w:hAnsi="Palatino Linotype"/>
          <w:sz w:val="22"/>
          <w:szCs w:val="22"/>
          <w:shd w:val="clear" w:color="auto" w:fill="FFFFFF"/>
        </w:rPr>
        <w:t>inform</w:t>
      </w:r>
      <w:r w:rsidR="00310454">
        <w:rPr>
          <w:rFonts w:ascii="Palatino Linotype" w:hAnsi="Palatino Linotype"/>
          <w:sz w:val="22"/>
          <w:szCs w:val="22"/>
          <w:shd w:val="clear" w:color="auto" w:fill="FFFFFF"/>
        </w:rPr>
        <w:t>e</w:t>
      </w:r>
      <w:r w:rsidRPr="0076211E">
        <w:rPr>
          <w:rFonts w:ascii="Palatino Linotype" w:hAnsi="Palatino Linotype"/>
          <w:sz w:val="22"/>
          <w:szCs w:val="22"/>
          <w:shd w:val="clear" w:color="auto" w:fill="FFFFFF"/>
        </w:rPr>
        <w:t xml:space="preserve"> a este Instituto en un plazo </w:t>
      </w:r>
      <w:r w:rsidRPr="0076211E">
        <w:rPr>
          <w:rFonts w:ascii="Palatino Linotype" w:eastAsiaTheme="minorEastAsia" w:hAnsi="Palatino Linotype"/>
          <w:sz w:val="22"/>
          <w:szCs w:val="22"/>
          <w:lang w:eastAsia="es-ES_tradnl"/>
        </w:rPr>
        <w:t>de</w:t>
      </w:r>
      <w:r w:rsidRPr="0076211E">
        <w:rPr>
          <w:rFonts w:ascii="Palatino Linotype" w:hAnsi="Palatino Linotype"/>
          <w:sz w:val="22"/>
          <w:szCs w:val="22"/>
          <w:shd w:val="clear" w:color="auto" w:fill="FFFFFF"/>
        </w:rPr>
        <w:t xml:space="preserve"> tres días hábiles siguientes</w:t>
      </w:r>
      <w:r w:rsidR="00310454">
        <w:rPr>
          <w:rFonts w:ascii="Palatino Linotype" w:hAnsi="Palatino Linotype"/>
          <w:sz w:val="22"/>
          <w:szCs w:val="22"/>
          <w:shd w:val="clear" w:color="auto" w:fill="FFFFFF"/>
        </w:rPr>
        <w:t>,</w:t>
      </w:r>
      <w:r w:rsidRPr="0076211E">
        <w:rPr>
          <w:rFonts w:ascii="Palatino Linotype" w:hAnsi="Palatino Linotype"/>
          <w:sz w:val="22"/>
          <w:szCs w:val="22"/>
          <w:shd w:val="clear" w:color="auto" w:fill="FFFFFF"/>
        </w:rPr>
        <w:t xml:space="preserve"> sobre el cumplimiento dado a la presente resolución.</w:t>
      </w:r>
    </w:p>
    <w:p w:rsidR="0076211E" w:rsidRPr="0076211E" w:rsidRDefault="0076211E" w:rsidP="0076211E">
      <w:pPr>
        <w:widowControl w:val="0"/>
        <w:autoSpaceDE w:val="0"/>
        <w:autoSpaceDN w:val="0"/>
        <w:adjustRightInd w:val="0"/>
        <w:spacing w:line="360" w:lineRule="auto"/>
        <w:jc w:val="both"/>
        <w:rPr>
          <w:rFonts w:ascii="Palatino Linotype" w:hAnsi="Palatino Linotype"/>
          <w:b/>
          <w:sz w:val="22"/>
          <w:szCs w:val="22"/>
        </w:rPr>
      </w:pPr>
    </w:p>
    <w:p w:rsidR="00310454" w:rsidRDefault="0076211E" w:rsidP="00310454">
      <w:pPr>
        <w:shd w:val="clear" w:color="auto" w:fill="FFFFFF" w:themeFill="background1"/>
        <w:spacing w:line="360" w:lineRule="auto"/>
        <w:jc w:val="both"/>
        <w:rPr>
          <w:rFonts w:ascii="Palatino Linotype" w:hAnsi="Palatino Linotype" w:cs="Tahoma"/>
          <w:sz w:val="22"/>
          <w:szCs w:val="22"/>
        </w:rPr>
      </w:pPr>
      <w:r w:rsidRPr="0076211E">
        <w:rPr>
          <w:rFonts w:ascii="Palatino Linotype" w:hAnsi="Palatino Linotype" w:cs="Arial"/>
          <w:b/>
          <w:color w:val="000000" w:themeColor="text1"/>
          <w:sz w:val="22"/>
          <w:szCs w:val="22"/>
        </w:rPr>
        <w:t>CUARTO.</w:t>
      </w:r>
      <w:r w:rsidRPr="0076211E">
        <w:rPr>
          <w:rFonts w:ascii="Palatino Linotype" w:eastAsiaTheme="minorEastAsia" w:hAnsi="Palatino Linotype"/>
          <w:b/>
          <w:color w:val="222222"/>
          <w:sz w:val="22"/>
          <w:szCs w:val="22"/>
          <w:lang w:eastAsia="es-ES_tradnl"/>
        </w:rPr>
        <w:t xml:space="preserve"> </w:t>
      </w:r>
      <w:r w:rsidR="00310454">
        <w:rPr>
          <w:rFonts w:ascii="Palatino Linotype" w:hAnsi="Palatino Linotype" w:cs="Tahoma"/>
          <w:b/>
          <w:sz w:val="22"/>
          <w:szCs w:val="22"/>
        </w:rPr>
        <w:t>NOTIFÍQUESE</w:t>
      </w:r>
      <w:r w:rsidR="00310454">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rsidR="0076211E" w:rsidRPr="0076211E" w:rsidRDefault="0076211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rsidR="00806E45" w:rsidRPr="00054E79" w:rsidRDefault="00FC1754" w:rsidP="00FC1754">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val="es-ES_tradnl" w:eastAsia="en-US"/>
        </w:rPr>
        <w:t xml:space="preserve">ASÍ, POR </w:t>
      </w:r>
      <w:r w:rsidRPr="00DA1AD1">
        <w:rPr>
          <w:rFonts w:ascii="Palatino Linotype" w:eastAsia="Calibri" w:hAnsi="Palatino Linotype" w:cs="Tahoma"/>
          <w:b/>
          <w:bCs/>
          <w:sz w:val="22"/>
          <w:szCs w:val="22"/>
          <w:lang w:val="es-ES_tradnl" w:eastAsia="en-US"/>
        </w:rPr>
        <w:t>UNANIMIDAD</w:t>
      </w:r>
      <w:r w:rsidRPr="00054E79">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Pr>
          <w:rFonts w:ascii="Palatino Linotype" w:eastAsia="Calibri" w:hAnsi="Palatino Linotype" w:cs="Tahoma"/>
          <w:bCs/>
          <w:sz w:val="22"/>
          <w:szCs w:val="22"/>
          <w:lang w:val="es-ES_tradnl" w:eastAsia="en-US"/>
        </w:rPr>
        <w:t>RTÍNEZ SÁNCHEZ; EVA ABAID YAPUR</w:t>
      </w:r>
      <w:r w:rsidRPr="00054E79">
        <w:rPr>
          <w:rFonts w:ascii="Palatino Linotype" w:eastAsia="Calibri" w:hAnsi="Palatino Linotype" w:cs="Tahoma"/>
          <w:bCs/>
          <w:sz w:val="22"/>
          <w:szCs w:val="22"/>
          <w:lang w:val="es-ES_tradnl" w:eastAsia="en-US"/>
        </w:rPr>
        <w:t xml:space="preserve">; JOSÉ GUADALUPE </w:t>
      </w:r>
      <w:r w:rsidRPr="00B324A5">
        <w:rPr>
          <w:rFonts w:ascii="Palatino Linotype" w:eastAsia="Calibri" w:hAnsi="Palatino Linotype" w:cs="Tahoma"/>
          <w:bCs/>
          <w:sz w:val="22"/>
          <w:szCs w:val="22"/>
          <w:lang w:val="es-ES_tradnl" w:eastAsia="en-US"/>
        </w:rPr>
        <w:t xml:space="preserve">LUNA HERNÁNDEZ; JAVIER MARTÍNEZ CRUZ Y, LUIS GUSTAVO PARRA NORIEGA, </w:t>
      </w:r>
      <w:r w:rsidRPr="00E10FB5">
        <w:rPr>
          <w:rFonts w:ascii="Palatino Linotype" w:eastAsia="Calibri" w:hAnsi="Palatino Linotype" w:cs="Tahoma"/>
          <w:bCs/>
          <w:sz w:val="22"/>
          <w:szCs w:val="22"/>
          <w:lang w:val="es-ES_tradnl" w:eastAsia="en-US"/>
        </w:rPr>
        <w:t xml:space="preserve">EN LA </w:t>
      </w:r>
      <w:r w:rsidR="00C7474B" w:rsidRPr="00E10FB5">
        <w:rPr>
          <w:rFonts w:ascii="Palatino Linotype" w:eastAsia="Calibri" w:hAnsi="Palatino Linotype" w:cs="Tahoma"/>
          <w:bCs/>
          <w:sz w:val="22"/>
          <w:szCs w:val="22"/>
          <w:lang w:val="es-ES_tradnl" w:eastAsia="en-US"/>
        </w:rPr>
        <w:t xml:space="preserve">CUADRAGÉSIMA QUINTA </w:t>
      </w:r>
      <w:r w:rsidRPr="00E10FB5">
        <w:rPr>
          <w:rFonts w:ascii="Palatino Linotype" w:eastAsia="Calibri" w:hAnsi="Palatino Linotype" w:cs="Tahoma"/>
          <w:bCs/>
          <w:sz w:val="22"/>
          <w:szCs w:val="22"/>
          <w:lang w:val="es-ES_tradnl" w:eastAsia="en-US"/>
        </w:rPr>
        <w:t>SESIÓN ORDINARIA, CELEBRADA</w:t>
      </w:r>
      <w:r w:rsidRPr="00B324A5">
        <w:rPr>
          <w:rFonts w:ascii="Palatino Linotype" w:eastAsia="Calibri" w:hAnsi="Palatino Linotype" w:cs="Tahoma"/>
          <w:bCs/>
          <w:sz w:val="22"/>
          <w:szCs w:val="22"/>
          <w:lang w:val="es-ES_tradnl" w:eastAsia="en-US"/>
        </w:rPr>
        <w:t xml:space="preserve"> EL </w:t>
      </w:r>
      <w:r w:rsidR="004D6BA8">
        <w:rPr>
          <w:rFonts w:ascii="Palatino Linotype" w:eastAsia="Calibri" w:hAnsi="Palatino Linotype" w:cs="Tahoma"/>
          <w:bCs/>
          <w:sz w:val="22"/>
          <w:szCs w:val="22"/>
          <w:lang w:val="es-ES_tradnl" w:eastAsia="en-US"/>
        </w:rPr>
        <w:t>SEIS</w:t>
      </w:r>
      <w:r w:rsidR="0076211E" w:rsidRPr="00B324A5">
        <w:rPr>
          <w:rFonts w:ascii="Palatino Linotype" w:eastAsia="Calibri" w:hAnsi="Palatino Linotype" w:cs="Tahoma"/>
          <w:bCs/>
          <w:sz w:val="22"/>
          <w:szCs w:val="22"/>
          <w:lang w:val="es-ES_tradnl" w:eastAsia="en-US"/>
        </w:rPr>
        <w:t xml:space="preserve"> DE</w:t>
      </w:r>
      <w:r w:rsidR="0076211E">
        <w:rPr>
          <w:rFonts w:ascii="Palatino Linotype" w:eastAsia="Calibri" w:hAnsi="Palatino Linotype" w:cs="Tahoma"/>
          <w:bCs/>
          <w:sz w:val="22"/>
          <w:szCs w:val="22"/>
          <w:lang w:val="es-ES_tradnl" w:eastAsia="en-US"/>
        </w:rPr>
        <w:t xml:space="preserve"> DICIEMBRE</w:t>
      </w:r>
      <w:r w:rsidRPr="00054E79">
        <w:rPr>
          <w:rFonts w:ascii="Palatino Linotype" w:eastAsia="Calibri" w:hAnsi="Palatino Linotype" w:cs="Tahoma"/>
          <w:bCs/>
          <w:sz w:val="22"/>
          <w:szCs w:val="22"/>
          <w:lang w:val="es-ES_tradnl" w:eastAsia="en-US"/>
        </w:rPr>
        <w:t xml:space="preserve"> DE DOS MIL DIECIOCHO, ANTE EL SECRETARIO TÉCNICO DEL PLENO, ALEXIS TAPIA RAMÍREZ.</w:t>
      </w:r>
    </w:p>
    <w:p w:rsidR="00806E45" w:rsidRDefault="00806E45" w:rsidP="00806E45">
      <w:pPr>
        <w:spacing w:line="360" w:lineRule="auto"/>
        <w:ind w:right="-93"/>
        <w:jc w:val="both"/>
        <w:rPr>
          <w:rFonts w:ascii="Palatino Linotype" w:eastAsia="Calibri" w:hAnsi="Palatino Linotype" w:cs="Tahoma"/>
          <w:bCs/>
          <w:sz w:val="22"/>
          <w:szCs w:val="22"/>
          <w:lang w:eastAsia="en-US"/>
        </w:rPr>
      </w:pPr>
    </w:p>
    <w:p w:rsidR="0069630D" w:rsidRPr="00054E79" w:rsidRDefault="0069630D"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940402F" wp14:editId="70EB3086">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AB6" w:rsidRPr="00DA1AD1" w:rsidRDefault="00356AB6"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356AB6" w:rsidRPr="00DA1AD1" w:rsidRDefault="00356AB6"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356AB6" w:rsidRPr="00DA1AD1" w:rsidRDefault="00DA1AD1" w:rsidP="002A17C7">
                            <w:pPr>
                              <w:jc w:val="center"/>
                              <w:rPr>
                                <w:rFonts w:ascii="Palatino Linotype" w:hAnsi="Palatino Linotype"/>
                                <w:b/>
                                <w:sz w:val="22"/>
                                <w:szCs w:val="24"/>
                              </w:rPr>
                            </w:pPr>
                            <w:r w:rsidRPr="00DA1AD1">
                              <w:rPr>
                                <w:rFonts w:ascii="Palatino Linotype" w:hAnsi="Palatino Linotype"/>
                                <w:b/>
                                <w:sz w:val="22"/>
                                <w:szCs w:val="24"/>
                              </w:rPr>
                              <w:t>(Rúbrica)</w:t>
                            </w:r>
                          </w:p>
                          <w:p w:rsidR="00356AB6" w:rsidRPr="00016AF3" w:rsidRDefault="00356AB6"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0402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rsidR="00356AB6" w:rsidRPr="00DA1AD1" w:rsidRDefault="00356AB6"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356AB6" w:rsidRPr="00DA1AD1" w:rsidRDefault="00356AB6"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356AB6" w:rsidRPr="00DA1AD1" w:rsidRDefault="00DA1AD1" w:rsidP="002A17C7">
                      <w:pPr>
                        <w:jc w:val="center"/>
                        <w:rPr>
                          <w:rFonts w:ascii="Palatino Linotype" w:hAnsi="Palatino Linotype"/>
                          <w:b/>
                          <w:sz w:val="22"/>
                          <w:szCs w:val="24"/>
                        </w:rPr>
                      </w:pPr>
                      <w:r w:rsidRPr="00DA1AD1">
                        <w:rPr>
                          <w:rFonts w:ascii="Palatino Linotype" w:hAnsi="Palatino Linotype"/>
                          <w:b/>
                          <w:sz w:val="22"/>
                          <w:szCs w:val="24"/>
                        </w:rPr>
                        <w:t>(Rúbrica)</w:t>
                      </w:r>
                    </w:p>
                    <w:p w:rsidR="00356AB6" w:rsidRPr="00016AF3" w:rsidRDefault="00356AB6" w:rsidP="002A17C7">
                      <w:pPr>
                        <w:jc w:val="center"/>
                        <w:rPr>
                          <w:rFonts w:ascii="Palatino Linotype" w:hAnsi="Palatino Linotype"/>
                          <w:b/>
                          <w:sz w:val="24"/>
                          <w:szCs w:val="24"/>
                        </w:rPr>
                      </w:pPr>
                    </w:p>
                  </w:txbxContent>
                </v:textbox>
                <w10:wrap anchorx="margin"/>
              </v:shape>
            </w:pict>
          </mc:Fallback>
        </mc:AlternateContent>
      </w: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DA1AD1" w:rsidP="00806E45">
      <w:pPr>
        <w:spacing w:line="360" w:lineRule="auto"/>
        <w:ind w:right="-93"/>
        <w:jc w:val="both"/>
        <w:rPr>
          <w:rFonts w:ascii="Palatino Linotype" w:eastAsia="Calibri" w:hAnsi="Palatino Linotype" w:cs="Tahoma"/>
          <w:b/>
          <w:bCs/>
          <w:sz w:val="22"/>
          <w:szCs w:val="22"/>
          <w:lang w:eastAsia="en-US"/>
        </w:rPr>
      </w:pP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3B13379" wp14:editId="601067D2">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AB6" w:rsidRPr="00DA1AD1" w:rsidRDefault="00356AB6"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rsidR="00356AB6" w:rsidRPr="00DA1AD1" w:rsidRDefault="00DA1AD1" w:rsidP="00806E45">
                            <w:pPr>
                              <w:jc w:val="center"/>
                              <w:rPr>
                                <w:rFonts w:ascii="Palatino Linotype" w:hAnsi="Palatino Linotype"/>
                                <w:b/>
                                <w:sz w:val="22"/>
                                <w:szCs w:val="24"/>
                              </w:rPr>
                            </w:pPr>
                            <w:r w:rsidRPr="00DA1AD1">
                              <w:rPr>
                                <w:rFonts w:ascii="Palatino Linotype" w:hAnsi="Palatino Linotype"/>
                                <w:b/>
                                <w:sz w:val="22"/>
                                <w:szCs w:val="24"/>
                              </w:rPr>
                              <w:t>(Rúbrica)</w:t>
                            </w:r>
                          </w:p>
                          <w:p w:rsidR="00356AB6" w:rsidRPr="00DA1AD1" w:rsidRDefault="00356AB6"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3379"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" fillcolor="white [3201]" strokecolor="white [3212]" strokeweight=".5pt">
                <v:path arrowok="t"/>
                <v:textbox>
                  <w:txbxContent>
                    <w:p w:rsidR="00356AB6" w:rsidRPr="00DA1AD1" w:rsidRDefault="00356AB6"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rsidR="00356AB6" w:rsidRPr="00DA1AD1" w:rsidRDefault="00DA1AD1" w:rsidP="00806E45">
                      <w:pPr>
                        <w:jc w:val="center"/>
                        <w:rPr>
                          <w:rFonts w:ascii="Palatino Linotype" w:hAnsi="Palatino Linotype"/>
                          <w:b/>
                          <w:sz w:val="22"/>
                          <w:szCs w:val="24"/>
                        </w:rPr>
                      </w:pPr>
                      <w:r w:rsidRPr="00DA1AD1">
                        <w:rPr>
                          <w:rFonts w:ascii="Palatino Linotype" w:hAnsi="Palatino Linotype"/>
                          <w:b/>
                          <w:sz w:val="22"/>
                          <w:szCs w:val="24"/>
                        </w:rPr>
                        <w:t>(Rúbrica)</w:t>
                      </w:r>
                    </w:p>
                    <w:p w:rsidR="00356AB6" w:rsidRPr="00DA1AD1" w:rsidRDefault="00356AB6" w:rsidP="00806E45">
                      <w:pPr>
                        <w:jc w:val="center"/>
                        <w:rPr>
                          <w:sz w:val="18"/>
                        </w:rPr>
                      </w:pPr>
                    </w:p>
                  </w:txbxContent>
                </v:textbox>
                <w10:wrap anchorx="margin"/>
              </v:shape>
            </w:pict>
          </mc:Fallback>
        </mc:AlternateContent>
      </w:r>
      <w:r w:rsidR="002A17C7"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9B182A3" wp14:editId="79ED67BA">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356AB6" w:rsidRPr="00DA1AD1" w:rsidRDefault="00DA1AD1" w:rsidP="00806E45">
                            <w:pPr>
                              <w:jc w:val="center"/>
                              <w:rPr>
                                <w:rFonts w:ascii="Palatino Linotype" w:hAnsi="Palatino Linotype"/>
                                <w:b/>
                                <w:sz w:val="22"/>
                                <w:szCs w:val="24"/>
                              </w:rPr>
                            </w:pPr>
                            <w:r w:rsidRPr="00DA1AD1">
                              <w:rPr>
                                <w:rFonts w:ascii="Palatino Linotype" w:hAnsi="Palatino Linotype"/>
                                <w:b/>
                                <w:sz w:val="22"/>
                                <w:szCs w:val="24"/>
                              </w:rPr>
                              <w:t>(Rúbrica)</w:t>
                            </w:r>
                          </w:p>
                          <w:p w:rsidR="00356AB6" w:rsidRPr="00DA1AD1" w:rsidRDefault="00356AB6"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82A3"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" fillcolor="white [3201]" strokecolor="white [3212]" strokeweight=".5pt">
                <v:path arrowok="t"/>
                <v:textbox>
                  <w:txbxContent>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356AB6" w:rsidRPr="00DA1AD1" w:rsidRDefault="00DA1AD1" w:rsidP="00806E45">
                      <w:pPr>
                        <w:jc w:val="center"/>
                        <w:rPr>
                          <w:rFonts w:ascii="Palatino Linotype" w:hAnsi="Palatino Linotype"/>
                          <w:b/>
                          <w:sz w:val="22"/>
                          <w:szCs w:val="24"/>
                        </w:rPr>
                      </w:pPr>
                      <w:r w:rsidRPr="00DA1AD1">
                        <w:rPr>
                          <w:rFonts w:ascii="Palatino Linotype" w:hAnsi="Palatino Linotype"/>
                          <w:b/>
                          <w:sz w:val="22"/>
                          <w:szCs w:val="24"/>
                        </w:rPr>
                        <w:t>(Rúbrica)</w:t>
                      </w:r>
                    </w:p>
                    <w:p w:rsidR="00356AB6" w:rsidRPr="00DA1AD1" w:rsidRDefault="00356AB6" w:rsidP="00806E45">
                      <w:pPr>
                        <w:jc w:val="center"/>
                        <w:rPr>
                          <w:rFonts w:ascii="Palatino Linotype" w:hAnsi="Palatino Linotype"/>
                          <w:sz w:val="24"/>
                          <w:szCs w:val="24"/>
                        </w:rPr>
                      </w:pPr>
                    </w:p>
                  </w:txbxContent>
                </v:textbox>
                <w10:wrap anchorx="margin"/>
              </v:shape>
            </w:pict>
          </mc:Fallback>
        </mc:AlternateContent>
      </w: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2A17C7" w:rsidP="00806E45">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06BCC56" wp14:editId="728AF267">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AB6" w:rsidRPr="00DA1AD1" w:rsidRDefault="00356AB6"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356AB6" w:rsidRPr="00DA1AD1" w:rsidRDefault="00DA1AD1" w:rsidP="00806E45">
                            <w:pPr>
                              <w:jc w:val="center"/>
                              <w:rPr>
                                <w:rFonts w:ascii="Palatino Linotype" w:hAnsi="Palatino Linotype"/>
                                <w:b/>
                                <w:sz w:val="18"/>
                              </w:rPr>
                            </w:pPr>
                            <w:r w:rsidRPr="00DA1AD1">
                              <w:rPr>
                                <w:rFonts w:ascii="Palatino Linotype" w:hAnsi="Palatino Linotype"/>
                                <w:b/>
                                <w:sz w:val="22"/>
                                <w:szCs w:val="24"/>
                              </w:rPr>
                              <w:t>(Rúbrica)</w:t>
                            </w:r>
                          </w:p>
                          <w:p w:rsidR="00356AB6" w:rsidRDefault="00356A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CC5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356AB6" w:rsidRPr="00DA1AD1" w:rsidRDefault="00356AB6"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356AB6" w:rsidRPr="00DA1AD1" w:rsidRDefault="00DA1AD1" w:rsidP="00806E45">
                      <w:pPr>
                        <w:jc w:val="center"/>
                        <w:rPr>
                          <w:rFonts w:ascii="Palatino Linotype" w:hAnsi="Palatino Linotype"/>
                          <w:b/>
                          <w:sz w:val="18"/>
                        </w:rPr>
                      </w:pPr>
                      <w:r w:rsidRPr="00DA1AD1">
                        <w:rPr>
                          <w:rFonts w:ascii="Palatino Linotype" w:hAnsi="Palatino Linotype"/>
                          <w:b/>
                          <w:sz w:val="22"/>
                          <w:szCs w:val="24"/>
                        </w:rPr>
                        <w:t>(Rúbrica)</w:t>
                      </w:r>
                    </w:p>
                    <w:p w:rsidR="00356AB6" w:rsidRDefault="00356AB6"/>
                  </w:txbxContent>
                </v:textbox>
                <w10:wrap anchorx="margin"/>
              </v:shape>
            </w:pict>
          </mc:Fallback>
        </mc:AlternateContent>
      </w: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78260AA" wp14:editId="3FC32E5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356AB6" w:rsidRPr="00DA1AD1" w:rsidRDefault="00DA1AD1"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60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356AB6" w:rsidRPr="00DA1AD1" w:rsidRDefault="00DA1AD1"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1A1AAB" w:rsidRPr="00054E79" w:rsidRDefault="001A1AAB"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DD60F4F" wp14:editId="581610A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AB6" w:rsidRPr="00DA1AD1" w:rsidRDefault="00356AB6"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356AB6" w:rsidRPr="00DA1AD1" w:rsidRDefault="00DA1AD1" w:rsidP="00806E45">
                            <w:pPr>
                              <w:jc w:val="center"/>
                              <w:rPr>
                                <w:rFonts w:ascii="Palatino Linotype" w:hAnsi="Palatino Linotype"/>
                                <w:b/>
                                <w:sz w:val="22"/>
                                <w:szCs w:val="24"/>
                              </w:rPr>
                            </w:pPr>
                            <w:r w:rsidRPr="00DA1AD1">
                              <w:rPr>
                                <w:rFonts w:ascii="Palatino Linotype" w:hAnsi="Palatino Linotype"/>
                                <w:b/>
                                <w:sz w:val="22"/>
                                <w:szCs w:val="24"/>
                              </w:rPr>
                              <w:t>(Rúbrica)</w:t>
                            </w:r>
                          </w:p>
                          <w:p w:rsidR="00356AB6" w:rsidRPr="00DA1AD1" w:rsidRDefault="00356AB6" w:rsidP="00806E45">
                            <w:pPr>
                              <w:jc w:val="center"/>
                              <w:rPr>
                                <w:rFonts w:ascii="Palatino Linotype" w:hAnsi="Palatino Linotype"/>
                                <w:sz w:val="22"/>
                                <w:szCs w:val="24"/>
                              </w:rPr>
                            </w:pPr>
                          </w:p>
                          <w:p w:rsidR="00356AB6" w:rsidRPr="00EF2FC0" w:rsidRDefault="00356AB6" w:rsidP="00806E45">
                            <w:pPr>
                              <w:jc w:val="center"/>
                              <w:rPr>
                                <w:rFonts w:ascii="Palatino Linotype" w:hAnsi="Palatino Linotype"/>
                                <w:sz w:val="24"/>
                                <w:szCs w:val="24"/>
                              </w:rPr>
                            </w:pPr>
                          </w:p>
                          <w:p w:rsidR="00356AB6" w:rsidRDefault="00356AB6"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60F4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356AB6" w:rsidRPr="00DA1AD1" w:rsidRDefault="00356AB6"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356AB6" w:rsidRPr="00DA1AD1" w:rsidRDefault="00356AB6"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356AB6" w:rsidRPr="00DA1AD1" w:rsidRDefault="00DA1AD1" w:rsidP="00806E45">
                      <w:pPr>
                        <w:jc w:val="center"/>
                        <w:rPr>
                          <w:rFonts w:ascii="Palatino Linotype" w:hAnsi="Palatino Linotype"/>
                          <w:b/>
                          <w:sz w:val="22"/>
                          <w:szCs w:val="24"/>
                        </w:rPr>
                      </w:pPr>
                      <w:r w:rsidRPr="00DA1AD1">
                        <w:rPr>
                          <w:rFonts w:ascii="Palatino Linotype" w:hAnsi="Palatino Linotype"/>
                          <w:b/>
                          <w:sz w:val="22"/>
                          <w:szCs w:val="24"/>
                        </w:rPr>
                        <w:t>(Rúbrica)</w:t>
                      </w:r>
                    </w:p>
                    <w:p w:rsidR="00356AB6" w:rsidRPr="00DA1AD1" w:rsidRDefault="00356AB6" w:rsidP="00806E45">
                      <w:pPr>
                        <w:jc w:val="center"/>
                        <w:rPr>
                          <w:rFonts w:ascii="Palatino Linotype" w:hAnsi="Palatino Linotype"/>
                          <w:sz w:val="22"/>
                          <w:szCs w:val="24"/>
                        </w:rPr>
                      </w:pPr>
                    </w:p>
                    <w:p w:rsidR="00356AB6" w:rsidRPr="00EF2FC0" w:rsidRDefault="00356AB6" w:rsidP="00806E45">
                      <w:pPr>
                        <w:jc w:val="center"/>
                        <w:rPr>
                          <w:rFonts w:ascii="Palatino Linotype" w:hAnsi="Palatino Linotype"/>
                          <w:sz w:val="24"/>
                          <w:szCs w:val="24"/>
                        </w:rPr>
                      </w:pPr>
                    </w:p>
                    <w:p w:rsidR="00356AB6" w:rsidRDefault="00356AB6" w:rsidP="00806E45"/>
                  </w:txbxContent>
                </v:textbox>
                <w10:wrap anchorx="page"/>
              </v:shape>
            </w:pict>
          </mc:Fallback>
        </mc:AlternateContent>
      </w: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054E79">
        <w:rPr>
          <w:rFonts w:ascii="Palatino Linotype" w:eastAsia="Calibri" w:hAnsi="Palatino Linotype" w:cs="Arial"/>
          <w:sz w:val="22"/>
          <w:szCs w:val="22"/>
          <w:lang w:eastAsia="en-US"/>
        </w:rPr>
        <w:t>Esta foja corresponde a la resolución de</w:t>
      </w:r>
      <w:r w:rsidR="00F4018F" w:rsidRPr="00054E79">
        <w:rPr>
          <w:rFonts w:ascii="Palatino Linotype" w:eastAsia="Calibri" w:hAnsi="Palatino Linotype" w:cs="Arial"/>
          <w:sz w:val="22"/>
          <w:szCs w:val="22"/>
          <w:lang w:eastAsia="en-US"/>
        </w:rPr>
        <w:t xml:space="preserve"> fecha </w:t>
      </w:r>
      <w:r w:rsidR="004D6BA8">
        <w:rPr>
          <w:rFonts w:ascii="Palatino Linotype" w:eastAsia="Calibri" w:hAnsi="Palatino Linotype" w:cs="Arial"/>
          <w:sz w:val="22"/>
          <w:szCs w:val="22"/>
          <w:lang w:eastAsia="en-US"/>
        </w:rPr>
        <w:t>seis</w:t>
      </w:r>
      <w:r w:rsidR="0076211E">
        <w:rPr>
          <w:rFonts w:ascii="Palatino Linotype" w:eastAsia="Calibri" w:hAnsi="Palatino Linotype" w:cs="Arial"/>
          <w:sz w:val="22"/>
          <w:szCs w:val="22"/>
          <w:lang w:eastAsia="en-US"/>
        </w:rPr>
        <w:t xml:space="preserve"> de diciembre</w:t>
      </w:r>
      <w:r w:rsidR="00F4018F" w:rsidRPr="00054E79">
        <w:rPr>
          <w:rFonts w:ascii="Palatino Linotype" w:eastAsia="Calibri" w:hAnsi="Palatino Linotype" w:cs="Arial"/>
          <w:sz w:val="22"/>
          <w:szCs w:val="22"/>
          <w:lang w:eastAsia="en-US"/>
        </w:rPr>
        <w:t xml:space="preserve"> de dos mil dieciocho, emitida en el recurso de revisión número </w:t>
      </w:r>
      <w:r w:rsidR="00575E2B" w:rsidRPr="00054E79">
        <w:rPr>
          <w:rFonts w:ascii="Palatino Linotype" w:eastAsia="Calibri" w:hAnsi="Palatino Linotype" w:cs="Arial"/>
          <w:bCs/>
          <w:sz w:val="22"/>
          <w:szCs w:val="22"/>
          <w:lang w:eastAsia="en-US"/>
        </w:rPr>
        <w:t>03</w:t>
      </w:r>
      <w:r w:rsidR="0076211E">
        <w:rPr>
          <w:rFonts w:ascii="Palatino Linotype" w:eastAsia="Calibri" w:hAnsi="Palatino Linotype" w:cs="Arial"/>
          <w:bCs/>
          <w:sz w:val="22"/>
          <w:szCs w:val="22"/>
          <w:lang w:eastAsia="en-US"/>
        </w:rPr>
        <w:t>746</w:t>
      </w:r>
      <w:r w:rsidR="00961771" w:rsidRPr="00054E79">
        <w:rPr>
          <w:rFonts w:ascii="Palatino Linotype" w:eastAsia="Calibri" w:hAnsi="Palatino Linotype" w:cs="Arial"/>
          <w:bCs/>
          <w:sz w:val="22"/>
          <w:szCs w:val="22"/>
          <w:lang w:eastAsia="en-US"/>
        </w:rPr>
        <w:t>/INFOEM/IP/RR/2018</w:t>
      </w:r>
    </w:p>
    <w:sectPr w:rsidR="00F4018F"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020" w:rsidRDefault="00381020" w:rsidP="00B31222">
      <w:r>
        <w:separator/>
      </w:r>
    </w:p>
  </w:endnote>
  <w:endnote w:type="continuationSeparator" w:id="0">
    <w:p w:rsidR="00381020" w:rsidRDefault="0038102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356AB6" w:rsidRDefault="00356A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6BA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6BA8">
              <w:rPr>
                <w:b/>
                <w:bCs/>
                <w:noProof/>
              </w:rPr>
              <w:t>23</w:t>
            </w:r>
            <w:r>
              <w:rPr>
                <w:b/>
                <w:bCs/>
                <w:sz w:val="24"/>
                <w:szCs w:val="24"/>
              </w:rPr>
              <w:fldChar w:fldCharType="end"/>
            </w:r>
          </w:p>
        </w:sdtContent>
      </w:sdt>
    </w:sdtContent>
  </w:sdt>
  <w:p w:rsidR="00356AB6" w:rsidRDefault="00356A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356AB6" w:rsidRDefault="00356A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6BA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6BA8">
              <w:rPr>
                <w:b/>
                <w:bCs/>
                <w:noProof/>
              </w:rPr>
              <w:t>23</w:t>
            </w:r>
            <w:r>
              <w:rPr>
                <w:b/>
                <w:bCs/>
                <w:sz w:val="24"/>
                <w:szCs w:val="24"/>
              </w:rPr>
              <w:fldChar w:fldCharType="end"/>
            </w:r>
          </w:p>
        </w:sdtContent>
      </w:sdt>
    </w:sdtContent>
  </w:sdt>
  <w:p w:rsidR="00356AB6" w:rsidRDefault="00356A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020" w:rsidRDefault="00381020" w:rsidP="00B31222">
      <w:r>
        <w:separator/>
      </w:r>
    </w:p>
  </w:footnote>
  <w:footnote w:type="continuationSeparator" w:id="0">
    <w:p w:rsidR="00381020" w:rsidRDefault="0038102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56AB6" w:rsidRPr="005C106F" w:rsidTr="00202DB8">
      <w:trPr>
        <w:trHeight w:val="1435"/>
      </w:trPr>
      <w:tc>
        <w:tcPr>
          <w:tcW w:w="2835" w:type="dxa"/>
          <w:shd w:val="clear" w:color="auto" w:fill="auto"/>
        </w:tcPr>
        <w:p w:rsidR="00356AB6" w:rsidRPr="005C106F" w:rsidRDefault="00356AB6" w:rsidP="00EF4A64">
          <w:pPr>
            <w:tabs>
              <w:tab w:val="right" w:pos="4273"/>
            </w:tabs>
            <w:rPr>
              <w:rFonts w:ascii="Garamond" w:eastAsia="Calibri" w:hAnsi="Garamond"/>
              <w:sz w:val="16"/>
              <w:szCs w:val="16"/>
              <w:lang w:eastAsia="en-US"/>
            </w:rPr>
          </w:pPr>
        </w:p>
      </w:tc>
      <w:tc>
        <w:tcPr>
          <w:tcW w:w="6733" w:type="dxa"/>
          <w:shd w:val="clear" w:color="auto" w:fill="auto"/>
        </w:tcPr>
        <w:p w:rsidR="00356AB6" w:rsidRDefault="00356AB6"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56AB6" w:rsidTr="005743D2">
            <w:trPr>
              <w:gridBefore w:val="1"/>
              <w:gridAfter w:val="1"/>
              <w:wBefore w:w="572" w:type="dxa"/>
              <w:wAfter w:w="77" w:type="dxa"/>
              <w:trHeight w:val="144"/>
            </w:trPr>
            <w:tc>
              <w:tcPr>
                <w:tcW w:w="2698" w:type="dxa"/>
                <w:gridSpan w:val="2"/>
              </w:tcPr>
              <w:p w:rsidR="00356AB6" w:rsidRPr="008B0418" w:rsidRDefault="00356AB6"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rsidR="00356AB6" w:rsidRPr="008B0418" w:rsidRDefault="003632DF"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03746</w:t>
                </w:r>
                <w:r w:rsidR="00356AB6" w:rsidRPr="008B0418">
                  <w:rPr>
                    <w:rFonts w:ascii="Palatino Linotype" w:eastAsia="Calibri" w:hAnsi="Palatino Linotype" w:cs="Tahoma"/>
                    <w:bCs/>
                    <w:sz w:val="22"/>
                    <w:szCs w:val="22"/>
                    <w:lang w:eastAsia="en-US"/>
                  </w:rPr>
                  <w:t>/INFOEM/IP/RR/2018</w:t>
                </w:r>
              </w:p>
            </w:tc>
          </w:tr>
          <w:tr w:rsidR="00356AB6" w:rsidTr="005743D2">
            <w:trPr>
              <w:gridBefore w:val="1"/>
              <w:gridAfter w:val="1"/>
              <w:wBefore w:w="572" w:type="dxa"/>
              <w:wAfter w:w="77" w:type="dxa"/>
              <w:trHeight w:val="144"/>
            </w:trPr>
            <w:tc>
              <w:tcPr>
                <w:tcW w:w="2698" w:type="dxa"/>
                <w:gridSpan w:val="2"/>
              </w:tcPr>
              <w:p w:rsidR="00356AB6" w:rsidRPr="008B0418" w:rsidRDefault="00356AB6"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rsidR="00356AB6" w:rsidRPr="008B0418" w:rsidRDefault="003632DF"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Cuautitlán Izcalli</w:t>
                </w:r>
              </w:p>
            </w:tc>
          </w:tr>
          <w:tr w:rsidR="00356AB6" w:rsidTr="005743D2">
            <w:trPr>
              <w:gridBefore w:val="1"/>
              <w:gridAfter w:val="1"/>
              <w:wBefore w:w="572" w:type="dxa"/>
              <w:wAfter w:w="77" w:type="dxa"/>
              <w:trHeight w:val="138"/>
            </w:trPr>
            <w:tc>
              <w:tcPr>
                <w:tcW w:w="2698" w:type="dxa"/>
                <w:gridSpan w:val="2"/>
              </w:tcPr>
              <w:p w:rsidR="00356AB6" w:rsidRPr="008B0418" w:rsidRDefault="00356AB6"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rsidR="00356AB6" w:rsidRPr="008B0418" w:rsidRDefault="00356AB6"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356AB6" w:rsidTr="00DB7E5F">
            <w:trPr>
              <w:trHeight w:val="283"/>
            </w:trPr>
            <w:tc>
              <w:tcPr>
                <w:tcW w:w="2698" w:type="dxa"/>
                <w:gridSpan w:val="2"/>
              </w:tcPr>
              <w:p w:rsidR="00356AB6" w:rsidRPr="00E10748" w:rsidRDefault="00356AB6" w:rsidP="005743D2">
                <w:pPr>
                  <w:tabs>
                    <w:tab w:val="right" w:pos="8838"/>
                  </w:tabs>
                  <w:rPr>
                    <w:rFonts w:ascii="Tahoma" w:eastAsia="Calibri" w:hAnsi="Tahoma" w:cs="Tahoma"/>
                    <w:b/>
                    <w:sz w:val="22"/>
                    <w:szCs w:val="22"/>
                    <w:lang w:val="es-MX" w:eastAsia="en-US"/>
                  </w:rPr>
                </w:pPr>
              </w:p>
            </w:tc>
            <w:tc>
              <w:tcPr>
                <w:tcW w:w="3621" w:type="dxa"/>
                <w:gridSpan w:val="3"/>
              </w:tcPr>
              <w:p w:rsidR="00356AB6" w:rsidRPr="00E10748" w:rsidRDefault="00356AB6" w:rsidP="005743D2">
                <w:pPr>
                  <w:tabs>
                    <w:tab w:val="right" w:pos="8838"/>
                  </w:tabs>
                  <w:jc w:val="both"/>
                  <w:rPr>
                    <w:rFonts w:ascii="Tahoma" w:eastAsia="Calibri" w:hAnsi="Tahoma" w:cs="Tahoma"/>
                    <w:b/>
                    <w:sz w:val="22"/>
                    <w:szCs w:val="22"/>
                    <w:lang w:val="es-MX" w:eastAsia="en-US"/>
                  </w:rPr>
                </w:pPr>
              </w:p>
            </w:tc>
          </w:tr>
        </w:tbl>
        <w:p w:rsidR="00356AB6" w:rsidRPr="005C106F" w:rsidRDefault="00356AB6" w:rsidP="005743D2">
          <w:pPr>
            <w:tabs>
              <w:tab w:val="right" w:pos="8838"/>
            </w:tabs>
            <w:ind w:left="-28"/>
            <w:jc w:val="both"/>
            <w:rPr>
              <w:rFonts w:ascii="Arial" w:eastAsia="Calibri" w:hAnsi="Arial" w:cs="Arial"/>
              <w:b/>
              <w:sz w:val="22"/>
              <w:szCs w:val="22"/>
              <w:lang w:eastAsia="en-US"/>
            </w:rPr>
          </w:pPr>
        </w:p>
      </w:tc>
    </w:tr>
  </w:tbl>
  <w:p w:rsidR="00356AB6" w:rsidRPr="00443C6B" w:rsidRDefault="00356AB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56AB6" w:rsidRPr="005C106F" w:rsidTr="003B165A">
      <w:trPr>
        <w:trHeight w:val="1435"/>
      </w:trPr>
      <w:tc>
        <w:tcPr>
          <w:tcW w:w="2835" w:type="dxa"/>
          <w:shd w:val="clear" w:color="auto" w:fill="auto"/>
        </w:tcPr>
        <w:p w:rsidR="00356AB6" w:rsidRPr="005C106F" w:rsidRDefault="00356AB6" w:rsidP="00DB7E5F">
          <w:pPr>
            <w:tabs>
              <w:tab w:val="right" w:pos="4273"/>
            </w:tabs>
            <w:rPr>
              <w:rFonts w:ascii="Garamond" w:eastAsia="Calibri" w:hAnsi="Garamond"/>
              <w:sz w:val="16"/>
              <w:szCs w:val="16"/>
              <w:lang w:eastAsia="en-US"/>
            </w:rPr>
          </w:pPr>
        </w:p>
      </w:tc>
      <w:tc>
        <w:tcPr>
          <w:tcW w:w="6733" w:type="dxa"/>
          <w:shd w:val="clear" w:color="auto" w:fill="auto"/>
        </w:tcPr>
        <w:p w:rsidR="00356AB6" w:rsidRPr="005C106F" w:rsidRDefault="00356AB6" w:rsidP="00DB7E5F">
          <w:pPr>
            <w:tabs>
              <w:tab w:val="right" w:pos="8838"/>
            </w:tabs>
            <w:ind w:left="-28"/>
            <w:jc w:val="both"/>
            <w:rPr>
              <w:rFonts w:ascii="Arial" w:eastAsia="Calibri" w:hAnsi="Arial" w:cs="Arial"/>
              <w:b/>
              <w:sz w:val="22"/>
              <w:szCs w:val="22"/>
              <w:lang w:eastAsia="en-US"/>
            </w:rPr>
          </w:pPr>
        </w:p>
      </w:tc>
    </w:tr>
  </w:tbl>
  <w:p w:rsidR="00356AB6" w:rsidRDefault="00356AB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B15F5D"/>
    <w:multiLevelType w:val="hybridMultilevel"/>
    <w:tmpl w:val="8826BA58"/>
    <w:lvl w:ilvl="0" w:tplc="DB3E560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9"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
  </w:num>
  <w:num w:numId="4">
    <w:abstractNumId w:val="31"/>
  </w:num>
  <w:num w:numId="5">
    <w:abstractNumId w:val="9"/>
  </w:num>
  <w:num w:numId="6">
    <w:abstractNumId w:val="30"/>
  </w:num>
  <w:num w:numId="7">
    <w:abstractNumId w:val="7"/>
  </w:num>
  <w:num w:numId="8">
    <w:abstractNumId w:val="29"/>
  </w:num>
  <w:num w:numId="9">
    <w:abstractNumId w:val="14"/>
  </w:num>
  <w:num w:numId="10">
    <w:abstractNumId w:val="1"/>
  </w:num>
  <w:num w:numId="11">
    <w:abstractNumId w:val="11"/>
  </w:num>
  <w:num w:numId="12">
    <w:abstractNumId w:val="25"/>
  </w:num>
  <w:num w:numId="13">
    <w:abstractNumId w:val="28"/>
  </w:num>
  <w:num w:numId="14">
    <w:abstractNumId w:val="12"/>
  </w:num>
  <w:num w:numId="15">
    <w:abstractNumId w:val="21"/>
  </w:num>
  <w:num w:numId="16">
    <w:abstractNumId w:val="27"/>
  </w:num>
  <w:num w:numId="17">
    <w:abstractNumId w:val="34"/>
  </w:num>
  <w:num w:numId="18">
    <w:abstractNumId w:val="19"/>
  </w:num>
  <w:num w:numId="19">
    <w:abstractNumId w:val="32"/>
  </w:num>
  <w:num w:numId="20">
    <w:abstractNumId w:val="18"/>
  </w:num>
  <w:num w:numId="21">
    <w:abstractNumId w:val="6"/>
  </w:num>
  <w:num w:numId="22">
    <w:abstractNumId w:val="16"/>
  </w:num>
  <w:num w:numId="23">
    <w:abstractNumId w:val="2"/>
  </w:num>
  <w:num w:numId="24">
    <w:abstractNumId w:val="17"/>
  </w:num>
  <w:num w:numId="25">
    <w:abstractNumId w:val="15"/>
  </w:num>
  <w:num w:numId="26">
    <w:abstractNumId w:val="4"/>
  </w:num>
  <w:num w:numId="27">
    <w:abstractNumId w:val="24"/>
  </w:num>
  <w:num w:numId="28">
    <w:abstractNumId w:val="8"/>
  </w:num>
  <w:num w:numId="29">
    <w:abstractNumId w:val="20"/>
  </w:num>
  <w:num w:numId="30">
    <w:abstractNumId w:val="5"/>
  </w:num>
  <w:num w:numId="31">
    <w:abstractNumId w:val="23"/>
  </w:num>
  <w:num w:numId="32">
    <w:abstractNumId w:val="22"/>
  </w:num>
  <w:num w:numId="33">
    <w:abstractNumId w:val="13"/>
  </w:num>
  <w:num w:numId="34">
    <w:abstractNumId w:val="10"/>
  </w:num>
  <w:num w:numId="3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7EB"/>
    <w:rsid w:val="000037B2"/>
    <w:rsid w:val="0000485A"/>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C4B"/>
    <w:rsid w:val="0004646B"/>
    <w:rsid w:val="00047D67"/>
    <w:rsid w:val="000528E6"/>
    <w:rsid w:val="00054E79"/>
    <w:rsid w:val="00057467"/>
    <w:rsid w:val="0006017B"/>
    <w:rsid w:val="000665C9"/>
    <w:rsid w:val="0006783C"/>
    <w:rsid w:val="00070098"/>
    <w:rsid w:val="000813B0"/>
    <w:rsid w:val="0008148B"/>
    <w:rsid w:val="0008165E"/>
    <w:rsid w:val="000822DE"/>
    <w:rsid w:val="000879FC"/>
    <w:rsid w:val="000946D7"/>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307A"/>
    <w:rsid w:val="00144D0B"/>
    <w:rsid w:val="00147566"/>
    <w:rsid w:val="00151053"/>
    <w:rsid w:val="00151FBB"/>
    <w:rsid w:val="00155F96"/>
    <w:rsid w:val="00156408"/>
    <w:rsid w:val="00156A6B"/>
    <w:rsid w:val="00161DF9"/>
    <w:rsid w:val="00162CCE"/>
    <w:rsid w:val="00165891"/>
    <w:rsid w:val="00170545"/>
    <w:rsid w:val="00170A4B"/>
    <w:rsid w:val="00171ADD"/>
    <w:rsid w:val="0017459B"/>
    <w:rsid w:val="00176BDF"/>
    <w:rsid w:val="0018110D"/>
    <w:rsid w:val="00182F0F"/>
    <w:rsid w:val="00183D24"/>
    <w:rsid w:val="00184897"/>
    <w:rsid w:val="001851A6"/>
    <w:rsid w:val="001875A7"/>
    <w:rsid w:val="001879E1"/>
    <w:rsid w:val="0019389B"/>
    <w:rsid w:val="001A1AAB"/>
    <w:rsid w:val="001A1B94"/>
    <w:rsid w:val="001A22F5"/>
    <w:rsid w:val="001A275F"/>
    <w:rsid w:val="001A7FD2"/>
    <w:rsid w:val="001B107D"/>
    <w:rsid w:val="001B2CD9"/>
    <w:rsid w:val="001B62A0"/>
    <w:rsid w:val="001C282F"/>
    <w:rsid w:val="001C44EF"/>
    <w:rsid w:val="001D0086"/>
    <w:rsid w:val="001D0094"/>
    <w:rsid w:val="001D6BEC"/>
    <w:rsid w:val="001D7012"/>
    <w:rsid w:val="001D7BD2"/>
    <w:rsid w:val="001E2A4D"/>
    <w:rsid w:val="001E53C2"/>
    <w:rsid w:val="001F0CDF"/>
    <w:rsid w:val="001F0E9C"/>
    <w:rsid w:val="001F1540"/>
    <w:rsid w:val="001F652C"/>
    <w:rsid w:val="001F654F"/>
    <w:rsid w:val="001F739F"/>
    <w:rsid w:val="001F78D9"/>
    <w:rsid w:val="00202DB8"/>
    <w:rsid w:val="00205907"/>
    <w:rsid w:val="00207736"/>
    <w:rsid w:val="00212460"/>
    <w:rsid w:val="00215D0D"/>
    <w:rsid w:val="00217AEF"/>
    <w:rsid w:val="00217C98"/>
    <w:rsid w:val="00221EC9"/>
    <w:rsid w:val="00222302"/>
    <w:rsid w:val="00223ECD"/>
    <w:rsid w:val="002241A6"/>
    <w:rsid w:val="002241E8"/>
    <w:rsid w:val="00224774"/>
    <w:rsid w:val="002247B0"/>
    <w:rsid w:val="00224F7A"/>
    <w:rsid w:val="00225152"/>
    <w:rsid w:val="00230A86"/>
    <w:rsid w:val="00230E81"/>
    <w:rsid w:val="00232673"/>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5644"/>
    <w:rsid w:val="0028581E"/>
    <w:rsid w:val="00285B21"/>
    <w:rsid w:val="00293491"/>
    <w:rsid w:val="002A0FB8"/>
    <w:rsid w:val="002A17C7"/>
    <w:rsid w:val="002A6193"/>
    <w:rsid w:val="002A7BD4"/>
    <w:rsid w:val="002A7F32"/>
    <w:rsid w:val="002B20A1"/>
    <w:rsid w:val="002B226E"/>
    <w:rsid w:val="002B46D4"/>
    <w:rsid w:val="002B54CF"/>
    <w:rsid w:val="002D1BE4"/>
    <w:rsid w:val="002E5015"/>
    <w:rsid w:val="002E7ACF"/>
    <w:rsid w:val="002F0790"/>
    <w:rsid w:val="002F0CE9"/>
    <w:rsid w:val="002F3BD0"/>
    <w:rsid w:val="00300A0B"/>
    <w:rsid w:val="00301F46"/>
    <w:rsid w:val="00303CAD"/>
    <w:rsid w:val="00306418"/>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7F82"/>
    <w:rsid w:val="00374FD9"/>
    <w:rsid w:val="003756AF"/>
    <w:rsid w:val="00375815"/>
    <w:rsid w:val="00380441"/>
    <w:rsid w:val="00381020"/>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2641"/>
    <w:rsid w:val="003B5A37"/>
    <w:rsid w:val="003C28B8"/>
    <w:rsid w:val="003C6934"/>
    <w:rsid w:val="003C6BCF"/>
    <w:rsid w:val="003C7FD0"/>
    <w:rsid w:val="003D0268"/>
    <w:rsid w:val="003D0834"/>
    <w:rsid w:val="003D1A43"/>
    <w:rsid w:val="003D1A64"/>
    <w:rsid w:val="003D4CB4"/>
    <w:rsid w:val="003D7014"/>
    <w:rsid w:val="003E31E5"/>
    <w:rsid w:val="003E32ED"/>
    <w:rsid w:val="003E3A39"/>
    <w:rsid w:val="003E58C9"/>
    <w:rsid w:val="003E5CB3"/>
    <w:rsid w:val="003F578D"/>
    <w:rsid w:val="003F5F1F"/>
    <w:rsid w:val="003F650B"/>
    <w:rsid w:val="004004E9"/>
    <w:rsid w:val="004007AA"/>
    <w:rsid w:val="00400FDE"/>
    <w:rsid w:val="00402595"/>
    <w:rsid w:val="004052C5"/>
    <w:rsid w:val="004100AA"/>
    <w:rsid w:val="00412203"/>
    <w:rsid w:val="00417DE3"/>
    <w:rsid w:val="00420B07"/>
    <w:rsid w:val="00422869"/>
    <w:rsid w:val="00426448"/>
    <w:rsid w:val="0043257A"/>
    <w:rsid w:val="00432680"/>
    <w:rsid w:val="00436FD3"/>
    <w:rsid w:val="004406CF"/>
    <w:rsid w:val="00440BCF"/>
    <w:rsid w:val="00441804"/>
    <w:rsid w:val="004435B4"/>
    <w:rsid w:val="00443787"/>
    <w:rsid w:val="00453D6D"/>
    <w:rsid w:val="0046048A"/>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F2D88"/>
    <w:rsid w:val="004F4B65"/>
    <w:rsid w:val="004F71E5"/>
    <w:rsid w:val="005070C3"/>
    <w:rsid w:val="0050763D"/>
    <w:rsid w:val="005124DC"/>
    <w:rsid w:val="00514022"/>
    <w:rsid w:val="005220BE"/>
    <w:rsid w:val="0052246F"/>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A5ACC"/>
    <w:rsid w:val="005B0D7C"/>
    <w:rsid w:val="005B0E86"/>
    <w:rsid w:val="005B4B02"/>
    <w:rsid w:val="005B5DEE"/>
    <w:rsid w:val="005B6854"/>
    <w:rsid w:val="005C4034"/>
    <w:rsid w:val="005C465F"/>
    <w:rsid w:val="005C651C"/>
    <w:rsid w:val="005D1427"/>
    <w:rsid w:val="005D49C8"/>
    <w:rsid w:val="005D5607"/>
    <w:rsid w:val="005E37E9"/>
    <w:rsid w:val="005F03DB"/>
    <w:rsid w:val="00602617"/>
    <w:rsid w:val="00603A46"/>
    <w:rsid w:val="00611A49"/>
    <w:rsid w:val="00613017"/>
    <w:rsid w:val="00613A54"/>
    <w:rsid w:val="00616189"/>
    <w:rsid w:val="00621760"/>
    <w:rsid w:val="006217BB"/>
    <w:rsid w:val="00625BD5"/>
    <w:rsid w:val="00625DFB"/>
    <w:rsid w:val="0063244C"/>
    <w:rsid w:val="00634CEB"/>
    <w:rsid w:val="00637179"/>
    <w:rsid w:val="00637E34"/>
    <w:rsid w:val="00646100"/>
    <w:rsid w:val="006476CA"/>
    <w:rsid w:val="006552AE"/>
    <w:rsid w:val="00655773"/>
    <w:rsid w:val="006563CA"/>
    <w:rsid w:val="006578FC"/>
    <w:rsid w:val="006608AB"/>
    <w:rsid w:val="00664587"/>
    <w:rsid w:val="0066644C"/>
    <w:rsid w:val="00666F25"/>
    <w:rsid w:val="00667C1C"/>
    <w:rsid w:val="00673DD4"/>
    <w:rsid w:val="00673DF5"/>
    <w:rsid w:val="00674AEB"/>
    <w:rsid w:val="00677AD0"/>
    <w:rsid w:val="00684445"/>
    <w:rsid w:val="0068455C"/>
    <w:rsid w:val="00685328"/>
    <w:rsid w:val="006866D1"/>
    <w:rsid w:val="00686714"/>
    <w:rsid w:val="0069333E"/>
    <w:rsid w:val="00693C8E"/>
    <w:rsid w:val="0069630D"/>
    <w:rsid w:val="006969BA"/>
    <w:rsid w:val="0069788A"/>
    <w:rsid w:val="006A026A"/>
    <w:rsid w:val="006A0425"/>
    <w:rsid w:val="006A1D62"/>
    <w:rsid w:val="006A6D7F"/>
    <w:rsid w:val="006B0298"/>
    <w:rsid w:val="006B0E83"/>
    <w:rsid w:val="006B5493"/>
    <w:rsid w:val="006C10C0"/>
    <w:rsid w:val="006C1B1D"/>
    <w:rsid w:val="006C32BB"/>
    <w:rsid w:val="006C3747"/>
    <w:rsid w:val="006C7760"/>
    <w:rsid w:val="006C7EEA"/>
    <w:rsid w:val="006D141B"/>
    <w:rsid w:val="006D2A2B"/>
    <w:rsid w:val="006D522C"/>
    <w:rsid w:val="006D56AA"/>
    <w:rsid w:val="006D7795"/>
    <w:rsid w:val="006D7ACB"/>
    <w:rsid w:val="006E00EF"/>
    <w:rsid w:val="006E1A7A"/>
    <w:rsid w:val="006E2CA1"/>
    <w:rsid w:val="006E3C12"/>
    <w:rsid w:val="006F01E7"/>
    <w:rsid w:val="006F1F3A"/>
    <w:rsid w:val="006F7C7D"/>
    <w:rsid w:val="006F7EB8"/>
    <w:rsid w:val="00702DD7"/>
    <w:rsid w:val="007047D3"/>
    <w:rsid w:val="00705C40"/>
    <w:rsid w:val="0071087E"/>
    <w:rsid w:val="00710E2F"/>
    <w:rsid w:val="007134D8"/>
    <w:rsid w:val="00716EEF"/>
    <w:rsid w:val="00721B7D"/>
    <w:rsid w:val="007229A1"/>
    <w:rsid w:val="007235AA"/>
    <w:rsid w:val="00723D59"/>
    <w:rsid w:val="00732289"/>
    <w:rsid w:val="00735915"/>
    <w:rsid w:val="00735C21"/>
    <w:rsid w:val="0073614A"/>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4FFE"/>
    <w:rsid w:val="00775638"/>
    <w:rsid w:val="00775677"/>
    <w:rsid w:val="0077599A"/>
    <w:rsid w:val="00777353"/>
    <w:rsid w:val="00780CD6"/>
    <w:rsid w:val="00782EA4"/>
    <w:rsid w:val="007852C9"/>
    <w:rsid w:val="00785461"/>
    <w:rsid w:val="00786FF3"/>
    <w:rsid w:val="007876C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2786"/>
    <w:rsid w:val="007C339B"/>
    <w:rsid w:val="007C7EB6"/>
    <w:rsid w:val="007D1624"/>
    <w:rsid w:val="007D2976"/>
    <w:rsid w:val="007D2F75"/>
    <w:rsid w:val="007D3EE9"/>
    <w:rsid w:val="007E22E7"/>
    <w:rsid w:val="007E2F03"/>
    <w:rsid w:val="007E4232"/>
    <w:rsid w:val="007E543B"/>
    <w:rsid w:val="007E69BB"/>
    <w:rsid w:val="007E6AB8"/>
    <w:rsid w:val="007F2109"/>
    <w:rsid w:val="007F21C5"/>
    <w:rsid w:val="007F3EF1"/>
    <w:rsid w:val="00801251"/>
    <w:rsid w:val="00801BCE"/>
    <w:rsid w:val="00802515"/>
    <w:rsid w:val="00806E45"/>
    <w:rsid w:val="0081283F"/>
    <w:rsid w:val="0081480A"/>
    <w:rsid w:val="008202EB"/>
    <w:rsid w:val="00824038"/>
    <w:rsid w:val="00827F88"/>
    <w:rsid w:val="008336A5"/>
    <w:rsid w:val="00835474"/>
    <w:rsid w:val="008373C0"/>
    <w:rsid w:val="00837470"/>
    <w:rsid w:val="0084145F"/>
    <w:rsid w:val="00841DA2"/>
    <w:rsid w:val="008458F6"/>
    <w:rsid w:val="00845AED"/>
    <w:rsid w:val="0084708E"/>
    <w:rsid w:val="00851AE4"/>
    <w:rsid w:val="008530A1"/>
    <w:rsid w:val="00854E77"/>
    <w:rsid w:val="0085598D"/>
    <w:rsid w:val="00862771"/>
    <w:rsid w:val="00863412"/>
    <w:rsid w:val="0086682F"/>
    <w:rsid w:val="00872A21"/>
    <w:rsid w:val="00876F54"/>
    <w:rsid w:val="00877292"/>
    <w:rsid w:val="0087754A"/>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41D"/>
    <w:rsid w:val="008C0D0C"/>
    <w:rsid w:val="008C2FA1"/>
    <w:rsid w:val="008D2C4C"/>
    <w:rsid w:val="008D7E0D"/>
    <w:rsid w:val="008D7EDB"/>
    <w:rsid w:val="008E065E"/>
    <w:rsid w:val="008E1829"/>
    <w:rsid w:val="008E2327"/>
    <w:rsid w:val="008E232F"/>
    <w:rsid w:val="008E2560"/>
    <w:rsid w:val="008E5077"/>
    <w:rsid w:val="008E64F0"/>
    <w:rsid w:val="008E6FF3"/>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A1"/>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347A"/>
    <w:rsid w:val="009A620E"/>
    <w:rsid w:val="009A7126"/>
    <w:rsid w:val="009B4703"/>
    <w:rsid w:val="009B548D"/>
    <w:rsid w:val="009B6A6F"/>
    <w:rsid w:val="009C1AFE"/>
    <w:rsid w:val="009C325D"/>
    <w:rsid w:val="009C5F24"/>
    <w:rsid w:val="009D048B"/>
    <w:rsid w:val="009D6490"/>
    <w:rsid w:val="009D69C6"/>
    <w:rsid w:val="009E48CB"/>
    <w:rsid w:val="009E5419"/>
    <w:rsid w:val="009E5A6E"/>
    <w:rsid w:val="009F0CD3"/>
    <w:rsid w:val="009F46DC"/>
    <w:rsid w:val="009F5D2A"/>
    <w:rsid w:val="00A00216"/>
    <w:rsid w:val="00A01C00"/>
    <w:rsid w:val="00A01C04"/>
    <w:rsid w:val="00A04DAA"/>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3F14"/>
    <w:rsid w:val="00A6697B"/>
    <w:rsid w:val="00A74C2D"/>
    <w:rsid w:val="00A76B34"/>
    <w:rsid w:val="00A83487"/>
    <w:rsid w:val="00A854FF"/>
    <w:rsid w:val="00A859DF"/>
    <w:rsid w:val="00A87035"/>
    <w:rsid w:val="00A8745D"/>
    <w:rsid w:val="00A90F9B"/>
    <w:rsid w:val="00A92694"/>
    <w:rsid w:val="00A93072"/>
    <w:rsid w:val="00A961E0"/>
    <w:rsid w:val="00A9629C"/>
    <w:rsid w:val="00AA0957"/>
    <w:rsid w:val="00AA0FC8"/>
    <w:rsid w:val="00AA24D1"/>
    <w:rsid w:val="00AA35D5"/>
    <w:rsid w:val="00AA417B"/>
    <w:rsid w:val="00AA533F"/>
    <w:rsid w:val="00AA5A86"/>
    <w:rsid w:val="00AB010D"/>
    <w:rsid w:val="00AB0749"/>
    <w:rsid w:val="00AB1ECD"/>
    <w:rsid w:val="00AB76D8"/>
    <w:rsid w:val="00AB7E6A"/>
    <w:rsid w:val="00AC1B61"/>
    <w:rsid w:val="00AC2C6E"/>
    <w:rsid w:val="00AC48B7"/>
    <w:rsid w:val="00AC5EE6"/>
    <w:rsid w:val="00AC755D"/>
    <w:rsid w:val="00AD0D24"/>
    <w:rsid w:val="00AD1923"/>
    <w:rsid w:val="00AD2611"/>
    <w:rsid w:val="00AD3AC5"/>
    <w:rsid w:val="00AD3D57"/>
    <w:rsid w:val="00AE3F3E"/>
    <w:rsid w:val="00AE47BF"/>
    <w:rsid w:val="00AF6432"/>
    <w:rsid w:val="00AF79BD"/>
    <w:rsid w:val="00B07F12"/>
    <w:rsid w:val="00B10248"/>
    <w:rsid w:val="00B1415B"/>
    <w:rsid w:val="00B15278"/>
    <w:rsid w:val="00B200AC"/>
    <w:rsid w:val="00B20C9C"/>
    <w:rsid w:val="00B234EC"/>
    <w:rsid w:val="00B244DE"/>
    <w:rsid w:val="00B274AE"/>
    <w:rsid w:val="00B274BF"/>
    <w:rsid w:val="00B303E3"/>
    <w:rsid w:val="00B31222"/>
    <w:rsid w:val="00B324A5"/>
    <w:rsid w:val="00B42E81"/>
    <w:rsid w:val="00B4329D"/>
    <w:rsid w:val="00B443F5"/>
    <w:rsid w:val="00B520F9"/>
    <w:rsid w:val="00B52812"/>
    <w:rsid w:val="00B5495A"/>
    <w:rsid w:val="00B577A3"/>
    <w:rsid w:val="00B632A7"/>
    <w:rsid w:val="00B64641"/>
    <w:rsid w:val="00B66245"/>
    <w:rsid w:val="00B7262F"/>
    <w:rsid w:val="00B727C5"/>
    <w:rsid w:val="00B73FD4"/>
    <w:rsid w:val="00B74FC5"/>
    <w:rsid w:val="00B75A6C"/>
    <w:rsid w:val="00B82F2D"/>
    <w:rsid w:val="00B83E2A"/>
    <w:rsid w:val="00B83E38"/>
    <w:rsid w:val="00B85DF3"/>
    <w:rsid w:val="00B86C19"/>
    <w:rsid w:val="00B92EDF"/>
    <w:rsid w:val="00B93510"/>
    <w:rsid w:val="00B93A57"/>
    <w:rsid w:val="00B93E33"/>
    <w:rsid w:val="00B954F3"/>
    <w:rsid w:val="00B95BCD"/>
    <w:rsid w:val="00B95CDC"/>
    <w:rsid w:val="00B95CE5"/>
    <w:rsid w:val="00B96956"/>
    <w:rsid w:val="00BA0D0B"/>
    <w:rsid w:val="00BB0B9E"/>
    <w:rsid w:val="00BB375D"/>
    <w:rsid w:val="00BB49A0"/>
    <w:rsid w:val="00BB515F"/>
    <w:rsid w:val="00BC1FA5"/>
    <w:rsid w:val="00BC207C"/>
    <w:rsid w:val="00BC2C0C"/>
    <w:rsid w:val="00BC732A"/>
    <w:rsid w:val="00BC758B"/>
    <w:rsid w:val="00BD06BD"/>
    <w:rsid w:val="00BD2EAC"/>
    <w:rsid w:val="00BD4BB3"/>
    <w:rsid w:val="00BE17C6"/>
    <w:rsid w:val="00BE2BD3"/>
    <w:rsid w:val="00BE40BA"/>
    <w:rsid w:val="00BE4865"/>
    <w:rsid w:val="00BE69BF"/>
    <w:rsid w:val="00BE725A"/>
    <w:rsid w:val="00BE7430"/>
    <w:rsid w:val="00BE7B48"/>
    <w:rsid w:val="00BF3381"/>
    <w:rsid w:val="00C04B28"/>
    <w:rsid w:val="00C07B97"/>
    <w:rsid w:val="00C10FCF"/>
    <w:rsid w:val="00C16B4B"/>
    <w:rsid w:val="00C17427"/>
    <w:rsid w:val="00C20C00"/>
    <w:rsid w:val="00C210FD"/>
    <w:rsid w:val="00C22901"/>
    <w:rsid w:val="00C23344"/>
    <w:rsid w:val="00C24848"/>
    <w:rsid w:val="00C25238"/>
    <w:rsid w:val="00C305F2"/>
    <w:rsid w:val="00C3345C"/>
    <w:rsid w:val="00C36BF2"/>
    <w:rsid w:val="00C372A0"/>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4A6"/>
    <w:rsid w:val="00C61A0D"/>
    <w:rsid w:val="00C64434"/>
    <w:rsid w:val="00C64BCC"/>
    <w:rsid w:val="00C7063C"/>
    <w:rsid w:val="00C727D4"/>
    <w:rsid w:val="00C73C57"/>
    <w:rsid w:val="00C7474B"/>
    <w:rsid w:val="00C74D43"/>
    <w:rsid w:val="00C75CA7"/>
    <w:rsid w:val="00C8079B"/>
    <w:rsid w:val="00C901BB"/>
    <w:rsid w:val="00C90CD3"/>
    <w:rsid w:val="00C92098"/>
    <w:rsid w:val="00C92552"/>
    <w:rsid w:val="00C93F1B"/>
    <w:rsid w:val="00C976D1"/>
    <w:rsid w:val="00CA6A15"/>
    <w:rsid w:val="00CA71D4"/>
    <w:rsid w:val="00CB5D29"/>
    <w:rsid w:val="00CB675A"/>
    <w:rsid w:val="00CB782B"/>
    <w:rsid w:val="00CC0E77"/>
    <w:rsid w:val="00CC2092"/>
    <w:rsid w:val="00CC5E76"/>
    <w:rsid w:val="00CC7B01"/>
    <w:rsid w:val="00CD3A5D"/>
    <w:rsid w:val="00CD5FD4"/>
    <w:rsid w:val="00CE00C1"/>
    <w:rsid w:val="00CE0DCE"/>
    <w:rsid w:val="00CE1BC9"/>
    <w:rsid w:val="00CE24A9"/>
    <w:rsid w:val="00CE33C1"/>
    <w:rsid w:val="00CE4DD6"/>
    <w:rsid w:val="00CE6470"/>
    <w:rsid w:val="00CE654B"/>
    <w:rsid w:val="00CE76FF"/>
    <w:rsid w:val="00CF4012"/>
    <w:rsid w:val="00CF5C25"/>
    <w:rsid w:val="00CF67BE"/>
    <w:rsid w:val="00D02BC6"/>
    <w:rsid w:val="00D0310D"/>
    <w:rsid w:val="00D05497"/>
    <w:rsid w:val="00D05803"/>
    <w:rsid w:val="00D05C7C"/>
    <w:rsid w:val="00D06906"/>
    <w:rsid w:val="00D07742"/>
    <w:rsid w:val="00D1276A"/>
    <w:rsid w:val="00D14DB7"/>
    <w:rsid w:val="00D15922"/>
    <w:rsid w:val="00D15ED5"/>
    <w:rsid w:val="00D2069D"/>
    <w:rsid w:val="00D22B6A"/>
    <w:rsid w:val="00D30D98"/>
    <w:rsid w:val="00D32958"/>
    <w:rsid w:val="00D348F7"/>
    <w:rsid w:val="00D40BC3"/>
    <w:rsid w:val="00D434EC"/>
    <w:rsid w:val="00D44E9D"/>
    <w:rsid w:val="00D472A7"/>
    <w:rsid w:val="00D546DC"/>
    <w:rsid w:val="00D606D1"/>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1AD1"/>
    <w:rsid w:val="00DA495D"/>
    <w:rsid w:val="00DA7BA0"/>
    <w:rsid w:val="00DB469A"/>
    <w:rsid w:val="00DB52C3"/>
    <w:rsid w:val="00DB5DA3"/>
    <w:rsid w:val="00DB760D"/>
    <w:rsid w:val="00DB7E5F"/>
    <w:rsid w:val="00DC10B0"/>
    <w:rsid w:val="00DC1594"/>
    <w:rsid w:val="00DC4B70"/>
    <w:rsid w:val="00DC4BCD"/>
    <w:rsid w:val="00DC766B"/>
    <w:rsid w:val="00DD1107"/>
    <w:rsid w:val="00DD178F"/>
    <w:rsid w:val="00DD1FE4"/>
    <w:rsid w:val="00DE2966"/>
    <w:rsid w:val="00DE4107"/>
    <w:rsid w:val="00DE4798"/>
    <w:rsid w:val="00DF0B5E"/>
    <w:rsid w:val="00DF0ED5"/>
    <w:rsid w:val="00DF72D9"/>
    <w:rsid w:val="00DF7EC8"/>
    <w:rsid w:val="00E028ED"/>
    <w:rsid w:val="00E04A4C"/>
    <w:rsid w:val="00E104F6"/>
    <w:rsid w:val="00E10748"/>
    <w:rsid w:val="00E10FB5"/>
    <w:rsid w:val="00E12F57"/>
    <w:rsid w:val="00E14282"/>
    <w:rsid w:val="00E15EF6"/>
    <w:rsid w:val="00E20FF6"/>
    <w:rsid w:val="00E27DDF"/>
    <w:rsid w:val="00E27E01"/>
    <w:rsid w:val="00E30A90"/>
    <w:rsid w:val="00E32DBA"/>
    <w:rsid w:val="00E350F4"/>
    <w:rsid w:val="00E43469"/>
    <w:rsid w:val="00E445DA"/>
    <w:rsid w:val="00E45379"/>
    <w:rsid w:val="00E46352"/>
    <w:rsid w:val="00E477A3"/>
    <w:rsid w:val="00E50B22"/>
    <w:rsid w:val="00E51E18"/>
    <w:rsid w:val="00E533BD"/>
    <w:rsid w:val="00E53706"/>
    <w:rsid w:val="00E57CE2"/>
    <w:rsid w:val="00E617BD"/>
    <w:rsid w:val="00E705B4"/>
    <w:rsid w:val="00E714FE"/>
    <w:rsid w:val="00E72967"/>
    <w:rsid w:val="00E741E2"/>
    <w:rsid w:val="00E8155D"/>
    <w:rsid w:val="00E84D8D"/>
    <w:rsid w:val="00E94F09"/>
    <w:rsid w:val="00EA0E04"/>
    <w:rsid w:val="00EA220D"/>
    <w:rsid w:val="00EA3156"/>
    <w:rsid w:val="00EA40A2"/>
    <w:rsid w:val="00EA4CD5"/>
    <w:rsid w:val="00EA5D2C"/>
    <w:rsid w:val="00EA5D8E"/>
    <w:rsid w:val="00EB0760"/>
    <w:rsid w:val="00EB07CF"/>
    <w:rsid w:val="00EB3B88"/>
    <w:rsid w:val="00EB5E78"/>
    <w:rsid w:val="00EB6B5B"/>
    <w:rsid w:val="00EB71D5"/>
    <w:rsid w:val="00EC3B8F"/>
    <w:rsid w:val="00EC5CA0"/>
    <w:rsid w:val="00EC7372"/>
    <w:rsid w:val="00ED30E8"/>
    <w:rsid w:val="00ED3B69"/>
    <w:rsid w:val="00ED6CD1"/>
    <w:rsid w:val="00EE5F2E"/>
    <w:rsid w:val="00EF378C"/>
    <w:rsid w:val="00EF436A"/>
    <w:rsid w:val="00EF4A64"/>
    <w:rsid w:val="00EF6C64"/>
    <w:rsid w:val="00EF7AFC"/>
    <w:rsid w:val="00F02171"/>
    <w:rsid w:val="00F033EF"/>
    <w:rsid w:val="00F061A6"/>
    <w:rsid w:val="00F11AB3"/>
    <w:rsid w:val="00F20633"/>
    <w:rsid w:val="00F25CFE"/>
    <w:rsid w:val="00F318E7"/>
    <w:rsid w:val="00F35243"/>
    <w:rsid w:val="00F377D1"/>
    <w:rsid w:val="00F4018F"/>
    <w:rsid w:val="00F43029"/>
    <w:rsid w:val="00F43AC4"/>
    <w:rsid w:val="00F43E6E"/>
    <w:rsid w:val="00F44423"/>
    <w:rsid w:val="00F51236"/>
    <w:rsid w:val="00F5374C"/>
    <w:rsid w:val="00F541B8"/>
    <w:rsid w:val="00F56CC2"/>
    <w:rsid w:val="00F574B7"/>
    <w:rsid w:val="00F60BC0"/>
    <w:rsid w:val="00F61B7F"/>
    <w:rsid w:val="00F62370"/>
    <w:rsid w:val="00F628D3"/>
    <w:rsid w:val="00F6497E"/>
    <w:rsid w:val="00F677E2"/>
    <w:rsid w:val="00F718DA"/>
    <w:rsid w:val="00F73751"/>
    <w:rsid w:val="00F755E1"/>
    <w:rsid w:val="00F75EAD"/>
    <w:rsid w:val="00F77154"/>
    <w:rsid w:val="00F80F33"/>
    <w:rsid w:val="00F82119"/>
    <w:rsid w:val="00F83359"/>
    <w:rsid w:val="00F846D6"/>
    <w:rsid w:val="00F9173A"/>
    <w:rsid w:val="00F91800"/>
    <w:rsid w:val="00F91951"/>
    <w:rsid w:val="00F94E99"/>
    <w:rsid w:val="00F9650A"/>
    <w:rsid w:val="00F967C7"/>
    <w:rsid w:val="00FA0437"/>
    <w:rsid w:val="00FA233F"/>
    <w:rsid w:val="00FA2E05"/>
    <w:rsid w:val="00FA7D57"/>
    <w:rsid w:val="00FB0008"/>
    <w:rsid w:val="00FB071C"/>
    <w:rsid w:val="00FB2416"/>
    <w:rsid w:val="00FB3EA0"/>
    <w:rsid w:val="00FB55F4"/>
    <w:rsid w:val="00FC0B63"/>
    <w:rsid w:val="00FC1754"/>
    <w:rsid w:val="00FC2209"/>
    <w:rsid w:val="00FC409F"/>
    <w:rsid w:val="00FC61CE"/>
    <w:rsid w:val="00FC7531"/>
    <w:rsid w:val="00FC7EAA"/>
    <w:rsid w:val="00FD4FA5"/>
    <w:rsid w:val="00FD516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2F54B"/>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F379-BB15-447E-8CBE-BC5F5965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5741</Words>
  <Characters>31576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Diaz Gonzalez Ivan</cp:lastModifiedBy>
  <cp:revision>2</cp:revision>
  <cp:lastPrinted>2018-12-10T23:44:00Z</cp:lastPrinted>
  <dcterms:created xsi:type="dcterms:W3CDTF">2018-12-20T21:52:00Z</dcterms:created>
  <dcterms:modified xsi:type="dcterms:W3CDTF">2018-12-20T21:52:00Z</dcterms:modified>
</cp:coreProperties>
</file>